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91" w:tblpY="-1439"/>
        <w:tblW w:w="0" w:type="auto"/>
        <w:tblLook w:val="04A0" w:firstRow="1" w:lastRow="0" w:firstColumn="1" w:lastColumn="0" w:noHBand="0" w:noVBand="1"/>
      </w:tblPr>
      <w:tblGrid>
        <w:gridCol w:w="7740"/>
      </w:tblGrid>
      <w:tr w:rsidR="005A69FB" w:rsidRPr="004E5AA9" w:rsidTr="005A69FB">
        <w:tc>
          <w:tcPr>
            <w:tcW w:w="7740" w:type="dxa"/>
            <w:tcBorders>
              <w:top w:val="nil"/>
              <w:left w:val="nil"/>
              <w:bottom w:val="nil"/>
              <w:right w:val="nil"/>
            </w:tcBorders>
          </w:tcPr>
          <w:p w:rsidR="005A69FB" w:rsidRPr="004E5AA9" w:rsidRDefault="005A69FB" w:rsidP="005A69FB">
            <w:pPr>
              <w:ind w:left="-1098" w:right="2322"/>
              <w:jc w:val="center"/>
              <w:rPr>
                <w:rFonts w:cs="Times New Roman"/>
                <w:b/>
                <w:szCs w:val="24"/>
              </w:rPr>
            </w:pPr>
            <w:r w:rsidRPr="004E5AA9">
              <w:rPr>
                <w:noProof/>
              </w:rPr>
              <mc:AlternateContent>
                <mc:Choice Requires="wps">
                  <w:drawing>
                    <wp:anchor distT="0" distB="0" distL="114300" distR="114300" simplePos="0" relativeHeight="251689984" behindDoc="0" locked="0" layoutInCell="1" allowOverlap="1" wp14:anchorId="71C3935A" wp14:editId="76F8E458">
                      <wp:simplePos x="0" y="0"/>
                      <wp:positionH relativeFrom="column">
                        <wp:posOffset>426720</wp:posOffset>
                      </wp:positionH>
                      <wp:positionV relativeFrom="paragraph">
                        <wp:posOffset>-19685</wp:posOffset>
                      </wp:positionV>
                      <wp:extent cx="0" cy="10696575"/>
                      <wp:effectExtent l="0" t="0" r="0" b="0"/>
                      <wp:wrapNone/>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6575"/>
                              </a:xfrm>
                              <a:prstGeom prst="line">
                                <a:avLst/>
                              </a:prstGeom>
                              <a:noFill/>
                              <a:ln w="196850">
                                <a:solidFill>
                                  <a:srgbClr val="339933"/>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356AC87" id="Line 1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3.6pt,-1.55pt" to="33.6pt,8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" strokecolor="#393" strokeweight="15.5pt"/>
                  </w:pict>
                </mc:Fallback>
              </mc:AlternateContent>
            </w:r>
            <w:r w:rsidRPr="004E5AA9">
              <w:rPr>
                <w:noProof/>
              </w:rPr>
              <mc:AlternateContent>
                <mc:Choice Requires="wps">
                  <w:drawing>
                    <wp:anchor distT="0" distB="0" distL="114300" distR="114300" simplePos="0" relativeHeight="251691008" behindDoc="0" locked="0" layoutInCell="1" allowOverlap="1" wp14:anchorId="455CFF87" wp14:editId="1BC3A5C0">
                      <wp:simplePos x="0" y="0"/>
                      <wp:positionH relativeFrom="column">
                        <wp:posOffset>179070</wp:posOffset>
                      </wp:positionH>
                      <wp:positionV relativeFrom="paragraph">
                        <wp:posOffset>-19685</wp:posOffset>
                      </wp:positionV>
                      <wp:extent cx="0" cy="10696575"/>
                      <wp:effectExtent l="0" t="0" r="0" b="0"/>
                      <wp:wrapNone/>
                      <wp:docPr id="3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6575"/>
                              </a:xfrm>
                              <a:prstGeom prst="line">
                                <a:avLst/>
                              </a:prstGeom>
                              <a:noFill/>
                              <a:ln w="196850">
                                <a:solidFill>
                                  <a:srgbClr val="F79646">
                                    <a:lumMod val="75000"/>
                                  </a:srgb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8693412" id="Line 1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4.1pt,-1.55pt" to="14.1pt,8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" strokecolor="#e46c0a" strokeweight="15.5pt"/>
                  </w:pict>
                </mc:Fallback>
              </mc:AlternateContent>
            </w:r>
            <w:r w:rsidRPr="004E5AA9">
              <w:rPr>
                <w:noProof/>
              </w:rPr>
              <mc:AlternateContent>
                <mc:Choice Requires="wps">
                  <w:drawing>
                    <wp:anchor distT="0" distB="0" distL="114300" distR="114300" simplePos="0" relativeHeight="251692032" behindDoc="0" locked="0" layoutInCell="1" allowOverlap="1" wp14:anchorId="3BBA8A12" wp14:editId="7E4FADC6">
                      <wp:simplePos x="0" y="0"/>
                      <wp:positionH relativeFrom="column">
                        <wp:posOffset>-60960</wp:posOffset>
                      </wp:positionH>
                      <wp:positionV relativeFrom="paragraph">
                        <wp:posOffset>-29845</wp:posOffset>
                      </wp:positionV>
                      <wp:extent cx="0" cy="10696575"/>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6575"/>
                              </a:xfrm>
                              <a:prstGeom prst="line">
                                <a:avLst/>
                              </a:prstGeom>
                              <a:noFill/>
                              <a:ln w="196850">
                                <a:solidFill>
                                  <a:schemeClr val="bg2">
                                    <a:lumMod val="50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DEC00D7" id="Line 1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8pt,-2.35pt" to="-4.8pt,8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" strokecolor="#938953 [1614]" strokeweight="15.5pt"/>
                  </w:pict>
                </mc:Fallback>
              </mc:AlternateContent>
            </w:r>
          </w:p>
        </w:tc>
      </w:tr>
    </w:tbl>
    <w:p w:rsidR="004B13B4" w:rsidRPr="00C4418D" w:rsidRDefault="004B13B4" w:rsidP="00E01BE2">
      <w:pPr>
        <w:jc w:val="center"/>
        <w:rPr>
          <w:rFonts w:cstheme="minorHAnsi"/>
          <w:b/>
          <w:sz w:val="24"/>
          <w:szCs w:val="24"/>
        </w:rPr>
      </w:pPr>
    </w:p>
    <w:p w:rsidR="004B13B4" w:rsidRDefault="004B13B4" w:rsidP="004B13B4">
      <w:pPr>
        <w:jc w:val="center"/>
        <w:rPr>
          <w:rFonts w:cstheme="minorHAnsi"/>
          <w:b/>
          <w:sz w:val="40"/>
          <w:szCs w:val="40"/>
        </w:rPr>
      </w:pPr>
      <w:r w:rsidRPr="00B728EE">
        <w:rPr>
          <w:rFonts w:cstheme="minorHAnsi"/>
          <w:b/>
          <w:sz w:val="40"/>
          <w:szCs w:val="40"/>
        </w:rPr>
        <w:t>THE REPUBLIC OF KENYA</w:t>
      </w:r>
    </w:p>
    <w:p w:rsidR="00B728EE" w:rsidRPr="00B728EE" w:rsidRDefault="00B728EE" w:rsidP="004B13B4">
      <w:pPr>
        <w:jc w:val="center"/>
        <w:rPr>
          <w:rFonts w:cstheme="minorHAnsi"/>
          <w:b/>
          <w:sz w:val="40"/>
          <w:szCs w:val="40"/>
        </w:rPr>
      </w:pPr>
      <w:r>
        <w:rPr>
          <w:rFonts w:cstheme="minorHAnsi"/>
          <w:b/>
          <w:noProof/>
          <w:sz w:val="40"/>
          <w:szCs w:val="40"/>
        </w:rPr>
        <w:drawing>
          <wp:inline distT="0" distB="0" distL="0" distR="0" wp14:anchorId="54ABF693" wp14:editId="641F5352">
            <wp:extent cx="1371600"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sabi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rsidR="004B13B4" w:rsidRPr="005A69FB" w:rsidRDefault="00B12D95" w:rsidP="004B13B4">
      <w:pPr>
        <w:jc w:val="center"/>
        <w:rPr>
          <w:rFonts w:ascii="Gill Sans MT" w:hAnsi="Gill Sans MT" w:cstheme="minorHAnsi"/>
          <w:b/>
          <w:sz w:val="40"/>
          <w:szCs w:val="40"/>
        </w:rPr>
      </w:pPr>
      <w:r w:rsidRPr="005A69FB">
        <w:rPr>
          <w:rFonts w:ascii="Gill Sans MT" w:hAnsi="Gill Sans MT" w:cstheme="minorHAnsi"/>
          <w:b/>
          <w:sz w:val="40"/>
          <w:szCs w:val="40"/>
        </w:rPr>
        <w:t>COUNTY GOVERNMENT OF MARSABIT</w:t>
      </w:r>
    </w:p>
    <w:p w:rsidR="00B728EE" w:rsidRPr="005A69FB" w:rsidRDefault="00B728EE" w:rsidP="004B13B4">
      <w:pPr>
        <w:jc w:val="center"/>
        <w:rPr>
          <w:rFonts w:ascii="Gill Sans MT" w:hAnsi="Gill Sans MT" w:cstheme="minorHAnsi"/>
          <w:b/>
          <w:sz w:val="36"/>
          <w:szCs w:val="36"/>
        </w:rPr>
      </w:pPr>
      <w:r w:rsidRPr="005A69FB">
        <w:rPr>
          <w:rFonts w:ascii="Gill Sans MT" w:hAnsi="Gill Sans MT" w:cstheme="minorHAnsi"/>
          <w:b/>
          <w:sz w:val="36"/>
          <w:szCs w:val="36"/>
        </w:rPr>
        <w:t>COUNTY TREASURY</w:t>
      </w:r>
    </w:p>
    <w:p w:rsidR="005A69FB" w:rsidRPr="005A69FB" w:rsidRDefault="005A69FB" w:rsidP="005A69FB">
      <w:pPr>
        <w:ind w:firstLine="653"/>
        <w:jc w:val="center"/>
        <w:rPr>
          <w:rFonts w:ascii="Gill Sans MT" w:hAnsi="Gill Sans MT" w:cs="Times New Roman"/>
          <w:b/>
          <w:szCs w:val="28"/>
        </w:rPr>
      </w:pPr>
      <w:r w:rsidRPr="005A69FB">
        <w:rPr>
          <w:rFonts w:ascii="Gill Sans MT" w:hAnsi="Gill Sans MT" w:cs="Times New Roman"/>
          <w:b/>
          <w:szCs w:val="28"/>
        </w:rPr>
        <w:t>DEPARTMENT OF FINANCE AND ECONOMIC PLANNING</w:t>
      </w:r>
    </w:p>
    <w:p w:rsidR="00202B58" w:rsidRPr="00D07CD7" w:rsidRDefault="00202B58" w:rsidP="004B13B4">
      <w:pPr>
        <w:jc w:val="center"/>
        <w:rPr>
          <w:rFonts w:cstheme="minorHAnsi"/>
          <w:b/>
          <w:sz w:val="36"/>
          <w:szCs w:val="36"/>
        </w:rPr>
      </w:pPr>
    </w:p>
    <w:p w:rsidR="00D07CD7" w:rsidRDefault="00D07CD7" w:rsidP="004B13B4">
      <w:pPr>
        <w:jc w:val="center"/>
        <w:rPr>
          <w:rFonts w:cstheme="minorHAnsi"/>
          <w:b/>
          <w:sz w:val="40"/>
          <w:szCs w:val="40"/>
        </w:rPr>
      </w:pPr>
    </w:p>
    <w:tbl>
      <w:tblPr>
        <w:tblStyle w:val="TableGrid"/>
        <w:tblW w:w="0" w:type="auto"/>
        <w:tblBorders>
          <w:top w:val="thinThickSmallGap" w:sz="24"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D07CD7" w:rsidTr="005A69FB">
        <w:tc>
          <w:tcPr>
            <w:tcW w:w="10206" w:type="dxa"/>
          </w:tcPr>
          <w:p w:rsidR="00D07CD7" w:rsidRDefault="00D07CD7" w:rsidP="00D07CD7">
            <w:pPr>
              <w:jc w:val="center"/>
              <w:rPr>
                <w:rFonts w:cstheme="minorHAnsi"/>
                <w:b/>
                <w:sz w:val="40"/>
                <w:szCs w:val="40"/>
              </w:rPr>
            </w:pPr>
          </w:p>
          <w:p w:rsidR="00D07CD7" w:rsidRDefault="00D07CD7" w:rsidP="00D07CD7">
            <w:pPr>
              <w:jc w:val="center"/>
              <w:rPr>
                <w:rFonts w:cstheme="minorHAnsi"/>
                <w:b/>
                <w:sz w:val="40"/>
                <w:szCs w:val="40"/>
              </w:rPr>
            </w:pPr>
          </w:p>
          <w:p w:rsidR="00D07CD7" w:rsidRPr="005A69FB" w:rsidRDefault="00D07CD7" w:rsidP="00D07CD7">
            <w:pPr>
              <w:jc w:val="center"/>
              <w:rPr>
                <w:rFonts w:ascii="Gill Sans MT" w:hAnsi="Gill Sans MT" w:cstheme="minorHAnsi"/>
                <w:b/>
                <w:sz w:val="48"/>
                <w:szCs w:val="48"/>
              </w:rPr>
            </w:pPr>
            <w:r w:rsidRPr="005A69FB">
              <w:rPr>
                <w:rFonts w:ascii="Gill Sans MT" w:hAnsi="Gill Sans MT" w:cstheme="minorHAnsi"/>
                <w:b/>
                <w:sz w:val="48"/>
                <w:szCs w:val="48"/>
              </w:rPr>
              <w:t>COUNTY BUDGET REVIEW AND OUTLOOK PAPER</w:t>
            </w:r>
            <w:r w:rsidR="002E1CE5">
              <w:rPr>
                <w:rFonts w:ascii="Gill Sans MT" w:hAnsi="Gill Sans MT" w:cstheme="minorHAnsi"/>
                <w:b/>
                <w:sz w:val="48"/>
                <w:szCs w:val="48"/>
              </w:rPr>
              <w:t xml:space="preserve"> (CBROP)</w:t>
            </w:r>
          </w:p>
          <w:p w:rsidR="00D07CD7" w:rsidRDefault="00D07CD7" w:rsidP="00D07CD7">
            <w:pPr>
              <w:jc w:val="center"/>
              <w:rPr>
                <w:rFonts w:cstheme="minorHAnsi"/>
                <w:b/>
                <w:sz w:val="40"/>
                <w:szCs w:val="40"/>
              </w:rPr>
            </w:pPr>
          </w:p>
          <w:p w:rsidR="00D07CD7" w:rsidRDefault="00D07CD7" w:rsidP="00D07CD7">
            <w:pPr>
              <w:jc w:val="center"/>
              <w:rPr>
                <w:rFonts w:cstheme="minorHAnsi"/>
                <w:b/>
                <w:sz w:val="40"/>
                <w:szCs w:val="40"/>
              </w:rPr>
            </w:pPr>
          </w:p>
        </w:tc>
      </w:tr>
    </w:tbl>
    <w:p w:rsidR="00B728EE" w:rsidRPr="00C4418D" w:rsidRDefault="00B728EE" w:rsidP="00D07CD7">
      <w:pPr>
        <w:jc w:val="center"/>
        <w:rPr>
          <w:rFonts w:cstheme="minorHAnsi"/>
          <w:b/>
          <w:sz w:val="40"/>
          <w:szCs w:val="40"/>
        </w:rPr>
      </w:pPr>
    </w:p>
    <w:p w:rsidR="00B37408" w:rsidRPr="00C4418D" w:rsidRDefault="00B37408" w:rsidP="004B13B4">
      <w:pPr>
        <w:jc w:val="center"/>
        <w:rPr>
          <w:rFonts w:cstheme="minorHAnsi"/>
          <w:b/>
          <w:sz w:val="40"/>
          <w:szCs w:val="40"/>
        </w:rPr>
      </w:pPr>
    </w:p>
    <w:p w:rsidR="004B13B4" w:rsidRPr="00C4418D" w:rsidRDefault="004B13B4" w:rsidP="00D07CD7">
      <w:pPr>
        <w:jc w:val="center"/>
        <w:rPr>
          <w:rFonts w:cstheme="minorHAnsi"/>
          <w:b/>
          <w:sz w:val="24"/>
          <w:szCs w:val="24"/>
        </w:rPr>
      </w:pPr>
    </w:p>
    <w:p w:rsidR="004B13B4" w:rsidRPr="00C4418D" w:rsidRDefault="004B13B4" w:rsidP="004B13B4">
      <w:pPr>
        <w:jc w:val="center"/>
        <w:rPr>
          <w:rFonts w:cstheme="minorHAnsi"/>
          <w:b/>
          <w:sz w:val="24"/>
          <w:szCs w:val="24"/>
        </w:rPr>
      </w:pPr>
    </w:p>
    <w:p w:rsidR="004B13B4" w:rsidRPr="00C4418D" w:rsidRDefault="004B13B4" w:rsidP="004B13B4">
      <w:pPr>
        <w:jc w:val="center"/>
        <w:rPr>
          <w:rFonts w:cstheme="minorHAnsi"/>
          <w:b/>
          <w:sz w:val="24"/>
          <w:szCs w:val="24"/>
        </w:rPr>
      </w:pPr>
    </w:p>
    <w:p w:rsidR="004B13B4" w:rsidRPr="00C4418D" w:rsidRDefault="004E2FA5" w:rsidP="004B13B4">
      <w:pPr>
        <w:jc w:val="center"/>
        <w:rPr>
          <w:rFonts w:cstheme="minorHAnsi"/>
          <w:b/>
          <w:sz w:val="32"/>
          <w:szCs w:val="32"/>
        </w:rPr>
      </w:pPr>
      <w:r w:rsidRPr="00C4418D">
        <w:rPr>
          <w:rFonts w:cstheme="minorHAnsi"/>
          <w:b/>
          <w:sz w:val="32"/>
          <w:szCs w:val="32"/>
        </w:rPr>
        <w:t>SEPTEMBER 20</w:t>
      </w:r>
      <w:r w:rsidR="005A69FB">
        <w:rPr>
          <w:rFonts w:cstheme="minorHAnsi"/>
          <w:b/>
          <w:sz w:val="32"/>
          <w:szCs w:val="32"/>
        </w:rPr>
        <w:t>22</w:t>
      </w:r>
    </w:p>
    <w:p w:rsidR="005A2AA3" w:rsidRDefault="005A69FB" w:rsidP="004B13B4">
      <w:pPr>
        <w:jc w:val="center"/>
        <w:rPr>
          <w:rFonts w:cstheme="minorHAnsi"/>
          <w:b/>
          <w:sz w:val="24"/>
          <w:szCs w:val="24"/>
        </w:rPr>
      </w:pPr>
      <w:r w:rsidRPr="004E5AA9">
        <w:rPr>
          <w:noProof/>
        </w:rPr>
        <w:lastRenderedPageBreak/>
        <w:drawing>
          <wp:inline distT="0" distB="0" distL="0" distR="0" wp14:anchorId="139DD537" wp14:editId="29095169">
            <wp:extent cx="1413510" cy="1330325"/>
            <wp:effectExtent l="0" t="0" r="0" b="3175"/>
            <wp:docPr id="19" name="Picture 5"/>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3510" cy="1330325"/>
                    </a:xfrm>
                    <a:prstGeom prst="rect">
                      <a:avLst/>
                    </a:prstGeom>
                    <a:noFill/>
                    <a:ln>
                      <a:noFill/>
                    </a:ln>
                  </pic:spPr>
                </pic:pic>
              </a:graphicData>
            </a:graphic>
          </wp:inline>
        </w:drawing>
      </w:r>
    </w:p>
    <w:p w:rsidR="008930AE" w:rsidRDefault="005A69FB" w:rsidP="00D278BF">
      <w:pPr>
        <w:spacing w:before="100" w:beforeAutospacing="1" w:after="240" w:line="240" w:lineRule="auto"/>
        <w:jc w:val="center"/>
        <w:rPr>
          <w:rFonts w:cstheme="minorHAnsi"/>
          <w:b/>
          <w:bCs/>
        </w:rPr>
      </w:pPr>
      <w:r>
        <w:rPr>
          <w:rFonts w:cstheme="minorHAnsi"/>
          <w:b/>
          <w:bCs/>
        </w:rPr>
        <w:t xml:space="preserve">© </w:t>
      </w:r>
      <w:r w:rsidR="008930AE" w:rsidRPr="00C4418D">
        <w:rPr>
          <w:rFonts w:cstheme="minorHAnsi"/>
          <w:b/>
          <w:bCs/>
        </w:rPr>
        <w:t>County Budget Revie</w:t>
      </w:r>
      <w:r>
        <w:rPr>
          <w:rFonts w:cstheme="minorHAnsi"/>
          <w:b/>
          <w:bCs/>
        </w:rPr>
        <w:t>w and Outlook Paper (CBROP) 2022</w:t>
      </w:r>
    </w:p>
    <w:p w:rsidR="005A69FB" w:rsidRPr="004E5AA9" w:rsidRDefault="005A69FB" w:rsidP="005A69FB">
      <w:pPr>
        <w:spacing w:line="240" w:lineRule="auto"/>
        <w:jc w:val="center"/>
        <w:rPr>
          <w:rFonts w:cstheme="minorHAnsi"/>
          <w:b/>
          <w:bCs/>
        </w:rPr>
      </w:pPr>
      <w:r w:rsidRPr="004E5AA9">
        <w:rPr>
          <w:rFonts w:cstheme="minorHAnsi"/>
          <w:b/>
          <w:bCs/>
        </w:rPr>
        <w:t>To obtain copies of the document, please contact:</w:t>
      </w:r>
    </w:p>
    <w:p w:rsidR="005A69FB" w:rsidRPr="004E5AA9" w:rsidRDefault="005A69FB" w:rsidP="005A69FB">
      <w:pPr>
        <w:spacing w:line="240" w:lineRule="auto"/>
        <w:jc w:val="center"/>
        <w:rPr>
          <w:rFonts w:cstheme="minorHAnsi"/>
          <w:b/>
          <w:bCs/>
        </w:rPr>
      </w:pPr>
      <w:r w:rsidRPr="004E5AA9">
        <w:rPr>
          <w:rFonts w:cstheme="minorHAnsi"/>
          <w:b/>
          <w:bCs/>
        </w:rPr>
        <w:t>The County Executive Committee Member</w:t>
      </w:r>
    </w:p>
    <w:p w:rsidR="005A69FB" w:rsidRPr="004E5AA9" w:rsidRDefault="005A69FB" w:rsidP="005A69FB">
      <w:pPr>
        <w:spacing w:line="240" w:lineRule="auto"/>
        <w:jc w:val="center"/>
        <w:rPr>
          <w:rFonts w:cstheme="minorHAnsi"/>
          <w:b/>
          <w:bCs/>
        </w:rPr>
      </w:pPr>
      <w:r w:rsidRPr="004E5AA9">
        <w:rPr>
          <w:rFonts w:cstheme="minorHAnsi"/>
          <w:b/>
          <w:bCs/>
        </w:rPr>
        <w:t>Department of Finance and Economic Planning</w:t>
      </w:r>
    </w:p>
    <w:p w:rsidR="005A69FB" w:rsidRDefault="005A69FB" w:rsidP="005A69FB">
      <w:pPr>
        <w:spacing w:line="240" w:lineRule="auto"/>
        <w:jc w:val="center"/>
        <w:rPr>
          <w:rFonts w:cstheme="minorHAnsi"/>
          <w:b/>
          <w:bCs/>
        </w:rPr>
      </w:pPr>
      <w:r w:rsidRPr="004E5AA9">
        <w:rPr>
          <w:rFonts w:cstheme="minorHAnsi"/>
          <w:noProof/>
        </w:rPr>
        <mc:AlternateContent>
          <mc:Choice Requires="wps">
            <w:drawing>
              <wp:anchor distT="0" distB="0" distL="0" distR="0" simplePos="0" relativeHeight="251687936" behindDoc="0" locked="0" layoutInCell="0" allowOverlap="1" wp14:anchorId="38B20786" wp14:editId="20D7752D">
                <wp:simplePos x="0" y="0"/>
                <wp:positionH relativeFrom="column">
                  <wp:posOffset>0</wp:posOffset>
                </wp:positionH>
                <wp:positionV relativeFrom="paragraph">
                  <wp:posOffset>3519805</wp:posOffset>
                </wp:positionV>
                <wp:extent cx="5779135" cy="0"/>
                <wp:effectExtent l="0" t="0" r="0" b="0"/>
                <wp:wrapSquare wrapText="bothSides"/>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8890">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6F6E0" id="Straight Connector 15" o:spid="_x0000_s1026" style="position:absolute;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277.15pt" to="455.05pt,2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" o:allowincell="f" strokecolor="#d9d9d9" strokeweight=".7pt">
                <w10:wrap type="square"/>
              </v:line>
            </w:pict>
          </mc:Fallback>
        </mc:AlternateContent>
      </w:r>
      <w:r w:rsidRPr="004E5AA9">
        <w:rPr>
          <w:rFonts w:cstheme="minorHAnsi"/>
          <w:b/>
          <w:bCs/>
        </w:rPr>
        <w:t xml:space="preserve">P. O. Box 384 – 60500 </w:t>
      </w:r>
      <w:proofErr w:type="spellStart"/>
      <w:r w:rsidRPr="004E5AA9">
        <w:rPr>
          <w:rFonts w:cstheme="minorHAnsi"/>
          <w:b/>
          <w:bCs/>
        </w:rPr>
        <w:t>Marsabit</w:t>
      </w:r>
      <w:proofErr w:type="spellEnd"/>
      <w:r w:rsidRPr="004E5AA9">
        <w:rPr>
          <w:rFonts w:cstheme="minorHAnsi"/>
          <w:b/>
          <w:bCs/>
        </w:rPr>
        <w:t>, Kenya</w:t>
      </w:r>
    </w:p>
    <w:p w:rsidR="005A69FB" w:rsidRPr="004E5AA9" w:rsidRDefault="00AD5590" w:rsidP="005A69FB">
      <w:pPr>
        <w:spacing w:line="240" w:lineRule="auto"/>
        <w:jc w:val="center"/>
        <w:rPr>
          <w:rFonts w:cstheme="minorHAnsi"/>
          <w:b/>
          <w:bCs/>
        </w:rPr>
      </w:pPr>
      <w:hyperlink r:id="rId10" w:history="1">
        <w:r w:rsidR="005A69FB" w:rsidRPr="00042649">
          <w:rPr>
            <w:rStyle w:val="Hyperlink"/>
            <w:rFonts w:cstheme="minorHAnsi"/>
            <w:b/>
            <w:bCs/>
          </w:rPr>
          <w:t xml:space="preserve">Email: info@marsabit.go.ke </w:t>
        </w:r>
      </w:hyperlink>
    </w:p>
    <w:p w:rsidR="005A69FB" w:rsidRPr="004E5AA9" w:rsidRDefault="005A69FB" w:rsidP="005A69FB">
      <w:pPr>
        <w:spacing w:line="240" w:lineRule="auto"/>
        <w:ind w:right="1170"/>
        <w:jc w:val="center"/>
        <w:rPr>
          <w:rFonts w:cstheme="minorHAnsi"/>
          <w:b/>
          <w:bCs/>
        </w:rPr>
      </w:pPr>
      <w:r w:rsidRPr="004E5AA9">
        <w:rPr>
          <w:rFonts w:cstheme="minorHAnsi"/>
          <w:b/>
          <w:bCs/>
        </w:rPr>
        <w:br/>
      </w:r>
      <w:r>
        <w:rPr>
          <w:rFonts w:cstheme="minorHAnsi"/>
          <w:b/>
          <w:bCs/>
        </w:rPr>
        <w:t>CBROP</w:t>
      </w:r>
      <w:r w:rsidRPr="004E5AA9">
        <w:rPr>
          <w:rFonts w:cstheme="minorHAnsi"/>
          <w:b/>
          <w:bCs/>
        </w:rPr>
        <w:t xml:space="preserve"> 2022 will be published on the website at:</w:t>
      </w:r>
      <w:r w:rsidRPr="004E5AA9">
        <w:rPr>
          <w:rFonts w:cstheme="minorHAnsi"/>
          <w:b/>
          <w:bCs/>
          <w:color w:val="0000FF"/>
          <w:u w:val="single"/>
        </w:rPr>
        <w:t xml:space="preserve"> </w:t>
      </w:r>
      <w:hyperlink r:id="rId11" w:history="1">
        <w:r w:rsidRPr="004E5AA9">
          <w:rPr>
            <w:rStyle w:val="Hyperlink"/>
            <w:rFonts w:cstheme="minorHAnsi"/>
            <w:b/>
            <w:bCs/>
          </w:rPr>
          <w:t>www.marsabit.go.ke</w:t>
        </w:r>
      </w:hyperlink>
      <w:r w:rsidRPr="004E5AA9">
        <w:rPr>
          <w:rFonts w:cstheme="minorHAnsi"/>
          <w:b/>
          <w:bCs/>
          <w:color w:val="0000FF"/>
          <w:u w:val="single"/>
        </w:rPr>
        <w:t xml:space="preserve"> </w:t>
      </w:r>
      <w:r w:rsidRPr="004E5AA9">
        <w:rPr>
          <w:rFonts w:cstheme="minorHAnsi"/>
          <w:b/>
          <w:bCs/>
        </w:rPr>
        <w:t>within 7 days of adoption by the County Executive Committee</w:t>
      </w:r>
    </w:p>
    <w:p w:rsidR="005A69FB" w:rsidRPr="00C4418D" w:rsidRDefault="005A69FB" w:rsidP="00D278BF">
      <w:pPr>
        <w:spacing w:before="100" w:beforeAutospacing="1" w:after="240" w:line="240" w:lineRule="auto"/>
        <w:jc w:val="center"/>
        <w:rPr>
          <w:rFonts w:cstheme="minorHAnsi"/>
          <w:b/>
          <w:bCs/>
        </w:rPr>
      </w:pPr>
    </w:p>
    <w:p w:rsidR="008930AE" w:rsidRPr="00C4418D" w:rsidRDefault="008930AE" w:rsidP="008930AE">
      <w:pPr>
        <w:spacing w:line="421" w:lineRule="exact"/>
        <w:jc w:val="center"/>
        <w:rPr>
          <w:rFonts w:cstheme="minorHAnsi"/>
          <w:b/>
          <w:bCs/>
        </w:rPr>
      </w:pPr>
      <w:r w:rsidRPr="00C4418D">
        <w:rPr>
          <w:rFonts w:cstheme="minorHAnsi"/>
          <w:noProof/>
        </w:rPr>
        <mc:AlternateContent>
          <mc:Choice Requires="wps">
            <w:drawing>
              <wp:anchor distT="0" distB="0" distL="0" distR="0" simplePos="0" relativeHeight="251660288" behindDoc="0" locked="0" layoutInCell="0" allowOverlap="1" wp14:anchorId="20CC5C8A" wp14:editId="5B06D540">
                <wp:simplePos x="0" y="0"/>
                <wp:positionH relativeFrom="column">
                  <wp:posOffset>0</wp:posOffset>
                </wp:positionH>
                <wp:positionV relativeFrom="paragraph">
                  <wp:posOffset>3519805</wp:posOffset>
                </wp:positionV>
                <wp:extent cx="5779135" cy="0"/>
                <wp:effectExtent l="0" t="0" r="0" b="0"/>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8890">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6FD9B" id="Straight Connector 2"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277.15pt" to="455.05pt,2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" o:allowincell="f" strokecolor="#d9d9d9" strokeweight=".7pt">
                <w10:wrap type="square"/>
              </v:line>
            </w:pict>
          </mc:Fallback>
        </mc:AlternateContent>
      </w:r>
      <w:r w:rsidR="00EA16E6" w:rsidRPr="00EA16E6">
        <w:rPr>
          <w:rFonts w:cstheme="minorHAnsi"/>
          <w:b/>
          <w:bCs/>
        </w:rPr>
        <w:t xml:space="preserve"> </w:t>
      </w:r>
    </w:p>
    <w:p w:rsidR="00B9180F" w:rsidRDefault="00B9180F" w:rsidP="004B13B4">
      <w:pPr>
        <w:spacing w:after="0" w:line="240" w:lineRule="auto"/>
        <w:jc w:val="center"/>
        <w:rPr>
          <w:rStyle w:val="Hyperlink"/>
          <w:rFonts w:cstheme="minorHAnsi"/>
          <w:sz w:val="24"/>
          <w:szCs w:val="24"/>
          <w:u w:val="none"/>
        </w:rPr>
      </w:pPr>
    </w:p>
    <w:p w:rsidR="004041C1" w:rsidRDefault="004041C1" w:rsidP="004B13B4">
      <w:pPr>
        <w:spacing w:after="0" w:line="240" w:lineRule="auto"/>
        <w:jc w:val="center"/>
        <w:rPr>
          <w:rStyle w:val="Hyperlink"/>
          <w:rFonts w:cstheme="minorHAnsi"/>
          <w:sz w:val="24"/>
          <w:szCs w:val="24"/>
          <w:u w:val="none"/>
        </w:rPr>
      </w:pPr>
    </w:p>
    <w:p w:rsidR="004041C1" w:rsidRDefault="004041C1" w:rsidP="004B13B4">
      <w:pPr>
        <w:spacing w:after="0" w:line="240" w:lineRule="auto"/>
        <w:jc w:val="center"/>
        <w:rPr>
          <w:rStyle w:val="Hyperlink"/>
          <w:rFonts w:cstheme="minorHAnsi"/>
          <w:sz w:val="24"/>
          <w:szCs w:val="24"/>
          <w:u w:val="none"/>
        </w:rPr>
        <w:sectPr w:rsidR="004041C1" w:rsidSect="00F41687">
          <w:headerReference w:type="default" r:id="rId12"/>
          <w:footerReference w:type="default" r:id="rId13"/>
          <w:footerReference w:type="first" r:id="rId14"/>
          <w:pgSz w:w="11907" w:h="16839" w:code="9"/>
          <w:pgMar w:top="1440" w:right="927" w:bottom="1440" w:left="990" w:header="720" w:footer="720" w:gutter="0"/>
          <w:cols w:space="720"/>
          <w:titlePg/>
          <w:docGrid w:linePitch="360"/>
        </w:sectPr>
      </w:pPr>
    </w:p>
    <w:p w:rsidR="004041C1" w:rsidRDefault="004041C1" w:rsidP="004B13B4">
      <w:pPr>
        <w:spacing w:after="0" w:line="240" w:lineRule="auto"/>
        <w:jc w:val="center"/>
        <w:rPr>
          <w:rStyle w:val="Hyperlink"/>
          <w:rFonts w:cstheme="minorHAnsi"/>
          <w:sz w:val="24"/>
          <w:szCs w:val="24"/>
          <w:u w:val="none"/>
        </w:rPr>
      </w:pPr>
    </w:p>
    <w:sdt>
      <w:sdtPr>
        <w:rPr>
          <w:rFonts w:asciiTheme="minorHAnsi" w:eastAsiaTheme="minorEastAsia" w:hAnsiTheme="minorHAnsi" w:cstheme="minorBidi"/>
          <w:b w:val="0"/>
          <w:bCs w:val="0"/>
          <w:color w:val="0000FF" w:themeColor="hyperlink"/>
          <w:sz w:val="22"/>
          <w:szCs w:val="22"/>
          <w:u w:val="single"/>
          <w:lang w:eastAsia="en-US"/>
        </w:rPr>
        <w:id w:val="-1366748515"/>
        <w:docPartObj>
          <w:docPartGallery w:val="Table of Contents"/>
          <w:docPartUnique/>
        </w:docPartObj>
      </w:sdtPr>
      <w:sdtEndPr>
        <w:rPr>
          <w:noProof/>
          <w:color w:val="auto"/>
          <w:u w:val="none"/>
        </w:rPr>
      </w:sdtEndPr>
      <w:sdtContent>
        <w:p w:rsidR="004A1DC1" w:rsidRDefault="004A1DC1">
          <w:pPr>
            <w:pStyle w:val="TOCHeading"/>
          </w:pPr>
          <w:r>
            <w:t>Contents</w:t>
          </w:r>
        </w:p>
        <w:p w:rsidR="001154EB" w:rsidRPr="001154EB" w:rsidRDefault="001154EB" w:rsidP="001154EB">
          <w:pPr>
            <w:rPr>
              <w:lang w:eastAsia="ja-JP"/>
            </w:rPr>
          </w:pPr>
        </w:p>
        <w:p w:rsidR="00EF5EC7" w:rsidRDefault="004A1DC1">
          <w:pPr>
            <w:pStyle w:val="TOC1"/>
            <w:tabs>
              <w:tab w:val="right" w:leader="dot" w:pos="9980"/>
            </w:tabs>
            <w:rPr>
              <w:bCs w:val="0"/>
              <w:noProof/>
              <w:lang w:eastAsia="en-US"/>
            </w:rPr>
          </w:pPr>
          <w:r>
            <w:fldChar w:fldCharType="begin"/>
          </w:r>
          <w:r>
            <w:instrText xml:space="preserve"> TOC \o "1-3" \h \z \u </w:instrText>
          </w:r>
          <w:r>
            <w:fldChar w:fldCharType="separate"/>
          </w:r>
          <w:hyperlink w:anchor="_Toc525549601" w:history="1">
            <w:r w:rsidR="00EF5EC7" w:rsidRPr="00B8791C">
              <w:rPr>
                <w:rStyle w:val="Hyperlink"/>
                <w:noProof/>
              </w:rPr>
              <w:t>Foreword</w:t>
            </w:r>
            <w:r w:rsidR="00EF5EC7">
              <w:rPr>
                <w:noProof/>
                <w:webHidden/>
              </w:rPr>
              <w:tab/>
            </w:r>
            <w:r w:rsidR="00EF5EC7">
              <w:rPr>
                <w:noProof/>
                <w:webHidden/>
              </w:rPr>
              <w:fldChar w:fldCharType="begin"/>
            </w:r>
            <w:r w:rsidR="00EF5EC7">
              <w:rPr>
                <w:noProof/>
                <w:webHidden/>
              </w:rPr>
              <w:instrText xml:space="preserve"> PAGEREF _Toc525549601 \h </w:instrText>
            </w:r>
            <w:r w:rsidR="00EF5EC7">
              <w:rPr>
                <w:noProof/>
                <w:webHidden/>
              </w:rPr>
            </w:r>
            <w:r w:rsidR="00EF5EC7">
              <w:rPr>
                <w:noProof/>
                <w:webHidden/>
              </w:rPr>
              <w:fldChar w:fldCharType="separate"/>
            </w:r>
            <w:r w:rsidR="00005E88">
              <w:rPr>
                <w:noProof/>
                <w:webHidden/>
              </w:rPr>
              <w:t>i</w:t>
            </w:r>
            <w:r w:rsidR="00EF5EC7">
              <w:rPr>
                <w:noProof/>
                <w:webHidden/>
              </w:rPr>
              <w:fldChar w:fldCharType="end"/>
            </w:r>
          </w:hyperlink>
        </w:p>
        <w:p w:rsidR="00EF5EC7" w:rsidRDefault="00AD5590">
          <w:pPr>
            <w:pStyle w:val="TOC1"/>
            <w:tabs>
              <w:tab w:val="right" w:leader="dot" w:pos="9980"/>
            </w:tabs>
            <w:rPr>
              <w:bCs w:val="0"/>
              <w:noProof/>
              <w:lang w:eastAsia="en-US"/>
            </w:rPr>
          </w:pPr>
          <w:hyperlink w:anchor="_Toc525549602" w:history="1">
            <w:r w:rsidR="00EF5EC7" w:rsidRPr="00B8791C">
              <w:rPr>
                <w:rStyle w:val="Hyperlink"/>
                <w:noProof/>
              </w:rPr>
              <w:t>Acknowledgement</w:t>
            </w:r>
            <w:r w:rsidR="00EF5EC7">
              <w:rPr>
                <w:noProof/>
                <w:webHidden/>
              </w:rPr>
              <w:tab/>
            </w:r>
            <w:r w:rsidR="00EF5EC7">
              <w:rPr>
                <w:noProof/>
                <w:webHidden/>
              </w:rPr>
              <w:fldChar w:fldCharType="begin"/>
            </w:r>
            <w:r w:rsidR="00EF5EC7">
              <w:rPr>
                <w:noProof/>
                <w:webHidden/>
              </w:rPr>
              <w:instrText xml:space="preserve"> PAGEREF _Toc525549602 \h </w:instrText>
            </w:r>
            <w:r w:rsidR="00EF5EC7">
              <w:rPr>
                <w:noProof/>
                <w:webHidden/>
              </w:rPr>
            </w:r>
            <w:r w:rsidR="00EF5EC7">
              <w:rPr>
                <w:noProof/>
                <w:webHidden/>
              </w:rPr>
              <w:fldChar w:fldCharType="separate"/>
            </w:r>
            <w:r w:rsidR="00005E88">
              <w:rPr>
                <w:noProof/>
                <w:webHidden/>
              </w:rPr>
              <w:t>i</w:t>
            </w:r>
            <w:r w:rsidR="00EF5EC7">
              <w:rPr>
                <w:noProof/>
                <w:webHidden/>
              </w:rPr>
              <w:fldChar w:fldCharType="end"/>
            </w:r>
          </w:hyperlink>
        </w:p>
        <w:p w:rsidR="00EF5EC7" w:rsidRDefault="00AD5590">
          <w:pPr>
            <w:pStyle w:val="TOC1"/>
            <w:tabs>
              <w:tab w:val="right" w:leader="dot" w:pos="9980"/>
            </w:tabs>
            <w:rPr>
              <w:bCs w:val="0"/>
              <w:noProof/>
              <w:lang w:eastAsia="en-US"/>
            </w:rPr>
          </w:pPr>
          <w:hyperlink w:anchor="_Toc525549603" w:history="1">
            <w:r w:rsidR="00EF5EC7" w:rsidRPr="00B8791C">
              <w:rPr>
                <w:rStyle w:val="Hyperlink"/>
                <w:noProof/>
              </w:rPr>
              <w:t>ABBREVIATIONS AND ACRONYMS</w:t>
            </w:r>
            <w:r w:rsidR="00EF5EC7">
              <w:rPr>
                <w:noProof/>
                <w:webHidden/>
              </w:rPr>
              <w:tab/>
            </w:r>
            <w:r w:rsidR="00EF5EC7">
              <w:rPr>
                <w:noProof/>
                <w:webHidden/>
              </w:rPr>
              <w:fldChar w:fldCharType="begin"/>
            </w:r>
            <w:r w:rsidR="00EF5EC7">
              <w:rPr>
                <w:noProof/>
                <w:webHidden/>
              </w:rPr>
              <w:instrText xml:space="preserve"> PAGEREF _Toc525549603 \h </w:instrText>
            </w:r>
            <w:r w:rsidR="00EF5EC7">
              <w:rPr>
                <w:noProof/>
                <w:webHidden/>
              </w:rPr>
            </w:r>
            <w:r w:rsidR="00EF5EC7">
              <w:rPr>
                <w:noProof/>
                <w:webHidden/>
              </w:rPr>
              <w:fldChar w:fldCharType="separate"/>
            </w:r>
            <w:r w:rsidR="00005E88">
              <w:rPr>
                <w:noProof/>
                <w:webHidden/>
              </w:rPr>
              <w:t>ii</w:t>
            </w:r>
            <w:r w:rsidR="00EF5EC7">
              <w:rPr>
                <w:noProof/>
                <w:webHidden/>
              </w:rPr>
              <w:fldChar w:fldCharType="end"/>
            </w:r>
          </w:hyperlink>
        </w:p>
        <w:p w:rsidR="00EF5EC7" w:rsidRDefault="00AD5590">
          <w:pPr>
            <w:pStyle w:val="TOC1"/>
            <w:tabs>
              <w:tab w:val="right" w:leader="dot" w:pos="9980"/>
            </w:tabs>
            <w:rPr>
              <w:bCs w:val="0"/>
              <w:noProof/>
              <w:lang w:eastAsia="en-US"/>
            </w:rPr>
          </w:pPr>
          <w:hyperlink w:anchor="_Toc525549604" w:history="1">
            <w:r w:rsidR="00EF5EC7" w:rsidRPr="00B8791C">
              <w:rPr>
                <w:rStyle w:val="Hyperlink"/>
                <w:noProof/>
              </w:rPr>
              <w:t>LIST OF TABLES AND FIGURES</w:t>
            </w:r>
            <w:r w:rsidR="00EF5EC7">
              <w:rPr>
                <w:noProof/>
                <w:webHidden/>
              </w:rPr>
              <w:tab/>
            </w:r>
            <w:r w:rsidR="00EF5EC7">
              <w:rPr>
                <w:noProof/>
                <w:webHidden/>
              </w:rPr>
              <w:fldChar w:fldCharType="begin"/>
            </w:r>
            <w:r w:rsidR="00EF5EC7">
              <w:rPr>
                <w:noProof/>
                <w:webHidden/>
              </w:rPr>
              <w:instrText xml:space="preserve"> PAGEREF _Toc525549604 \h </w:instrText>
            </w:r>
            <w:r w:rsidR="00EF5EC7">
              <w:rPr>
                <w:noProof/>
                <w:webHidden/>
              </w:rPr>
            </w:r>
            <w:r w:rsidR="00EF5EC7">
              <w:rPr>
                <w:noProof/>
                <w:webHidden/>
              </w:rPr>
              <w:fldChar w:fldCharType="separate"/>
            </w:r>
            <w:r w:rsidR="00005E88">
              <w:rPr>
                <w:noProof/>
                <w:webHidden/>
              </w:rPr>
              <w:t>iii</w:t>
            </w:r>
            <w:r w:rsidR="00EF5EC7">
              <w:rPr>
                <w:noProof/>
                <w:webHidden/>
              </w:rPr>
              <w:fldChar w:fldCharType="end"/>
            </w:r>
          </w:hyperlink>
        </w:p>
        <w:p w:rsidR="00EF5EC7" w:rsidRDefault="00AD5590">
          <w:pPr>
            <w:pStyle w:val="TOC1"/>
            <w:tabs>
              <w:tab w:val="right" w:leader="dot" w:pos="9980"/>
            </w:tabs>
            <w:rPr>
              <w:bCs w:val="0"/>
              <w:noProof/>
              <w:lang w:eastAsia="en-US"/>
            </w:rPr>
          </w:pPr>
          <w:hyperlink w:anchor="_Toc525549605" w:history="1">
            <w:r w:rsidR="00EF5EC7" w:rsidRPr="00B8791C">
              <w:rPr>
                <w:rStyle w:val="Hyperlink"/>
                <w:noProof/>
              </w:rPr>
              <w:t>Preamble</w:t>
            </w:r>
            <w:r w:rsidR="00EF5EC7">
              <w:rPr>
                <w:noProof/>
                <w:webHidden/>
              </w:rPr>
              <w:tab/>
            </w:r>
            <w:r w:rsidR="00EF5EC7">
              <w:rPr>
                <w:noProof/>
                <w:webHidden/>
              </w:rPr>
              <w:fldChar w:fldCharType="begin"/>
            </w:r>
            <w:r w:rsidR="00EF5EC7">
              <w:rPr>
                <w:noProof/>
                <w:webHidden/>
              </w:rPr>
              <w:instrText xml:space="preserve"> PAGEREF _Toc525549605 \h </w:instrText>
            </w:r>
            <w:r w:rsidR="00EF5EC7">
              <w:rPr>
                <w:noProof/>
                <w:webHidden/>
              </w:rPr>
            </w:r>
            <w:r w:rsidR="00EF5EC7">
              <w:rPr>
                <w:noProof/>
                <w:webHidden/>
              </w:rPr>
              <w:fldChar w:fldCharType="separate"/>
            </w:r>
            <w:r w:rsidR="00005E88">
              <w:rPr>
                <w:noProof/>
                <w:webHidden/>
              </w:rPr>
              <w:t>iv</w:t>
            </w:r>
            <w:r w:rsidR="00EF5EC7">
              <w:rPr>
                <w:noProof/>
                <w:webHidden/>
              </w:rPr>
              <w:fldChar w:fldCharType="end"/>
            </w:r>
          </w:hyperlink>
        </w:p>
        <w:p w:rsidR="00EF5EC7" w:rsidRDefault="00AD5590">
          <w:pPr>
            <w:pStyle w:val="TOC1"/>
            <w:tabs>
              <w:tab w:val="left" w:pos="440"/>
              <w:tab w:val="right" w:leader="dot" w:pos="9980"/>
            </w:tabs>
            <w:rPr>
              <w:bCs w:val="0"/>
              <w:noProof/>
              <w:lang w:eastAsia="en-US"/>
            </w:rPr>
          </w:pPr>
          <w:hyperlink w:anchor="_Toc525549606" w:history="1">
            <w:r w:rsidR="00EF5EC7" w:rsidRPr="00B8791C">
              <w:rPr>
                <w:rStyle w:val="Hyperlink"/>
                <w:noProof/>
              </w:rPr>
              <w:t>1.</w:t>
            </w:r>
            <w:r w:rsidR="00EF5EC7">
              <w:rPr>
                <w:bCs w:val="0"/>
                <w:noProof/>
                <w:lang w:eastAsia="en-US"/>
              </w:rPr>
              <w:tab/>
            </w:r>
            <w:r w:rsidR="00EF5EC7" w:rsidRPr="00B8791C">
              <w:rPr>
                <w:rStyle w:val="Hyperlink"/>
                <w:noProof/>
              </w:rPr>
              <w:t>INTRODUCTION</w:t>
            </w:r>
            <w:r w:rsidR="00EF5EC7">
              <w:rPr>
                <w:noProof/>
                <w:webHidden/>
              </w:rPr>
              <w:tab/>
            </w:r>
            <w:r w:rsidR="00EF5EC7">
              <w:rPr>
                <w:noProof/>
                <w:webHidden/>
              </w:rPr>
              <w:fldChar w:fldCharType="begin"/>
            </w:r>
            <w:r w:rsidR="00EF5EC7">
              <w:rPr>
                <w:noProof/>
                <w:webHidden/>
              </w:rPr>
              <w:instrText xml:space="preserve"> PAGEREF _Toc525549606 \h </w:instrText>
            </w:r>
            <w:r w:rsidR="00EF5EC7">
              <w:rPr>
                <w:noProof/>
                <w:webHidden/>
              </w:rPr>
            </w:r>
            <w:r w:rsidR="00EF5EC7">
              <w:rPr>
                <w:noProof/>
                <w:webHidden/>
              </w:rPr>
              <w:fldChar w:fldCharType="separate"/>
            </w:r>
            <w:r w:rsidR="00005E88">
              <w:rPr>
                <w:noProof/>
                <w:webHidden/>
              </w:rPr>
              <w:t>6</w:t>
            </w:r>
            <w:r w:rsidR="00EF5EC7">
              <w:rPr>
                <w:noProof/>
                <w:webHidden/>
              </w:rPr>
              <w:fldChar w:fldCharType="end"/>
            </w:r>
          </w:hyperlink>
        </w:p>
        <w:p w:rsidR="00EF5EC7" w:rsidRDefault="00AD5590">
          <w:pPr>
            <w:pStyle w:val="TOC1"/>
            <w:tabs>
              <w:tab w:val="left" w:pos="660"/>
              <w:tab w:val="right" w:leader="dot" w:pos="9980"/>
            </w:tabs>
            <w:rPr>
              <w:bCs w:val="0"/>
              <w:noProof/>
              <w:lang w:eastAsia="en-US"/>
            </w:rPr>
          </w:pPr>
          <w:hyperlink w:anchor="_Toc525549607" w:history="1">
            <w:r w:rsidR="00EF5EC7" w:rsidRPr="00B8791C">
              <w:rPr>
                <w:rStyle w:val="Hyperlink"/>
                <w:noProof/>
              </w:rPr>
              <w:t>1.1.</w:t>
            </w:r>
            <w:r w:rsidR="00EF5EC7">
              <w:rPr>
                <w:bCs w:val="0"/>
                <w:noProof/>
                <w:lang w:eastAsia="en-US"/>
              </w:rPr>
              <w:tab/>
            </w:r>
            <w:r w:rsidR="00EF5EC7" w:rsidRPr="00B8791C">
              <w:rPr>
                <w:rStyle w:val="Hyperlink"/>
                <w:noProof/>
              </w:rPr>
              <w:t>Objective of CBROP</w:t>
            </w:r>
            <w:r w:rsidR="00EF5EC7">
              <w:rPr>
                <w:noProof/>
                <w:webHidden/>
              </w:rPr>
              <w:tab/>
            </w:r>
            <w:r w:rsidR="00EF5EC7">
              <w:rPr>
                <w:noProof/>
                <w:webHidden/>
              </w:rPr>
              <w:fldChar w:fldCharType="begin"/>
            </w:r>
            <w:r w:rsidR="00EF5EC7">
              <w:rPr>
                <w:noProof/>
                <w:webHidden/>
              </w:rPr>
              <w:instrText xml:space="preserve"> PAGEREF _Toc525549607 \h </w:instrText>
            </w:r>
            <w:r w:rsidR="00EF5EC7">
              <w:rPr>
                <w:noProof/>
                <w:webHidden/>
              </w:rPr>
            </w:r>
            <w:r w:rsidR="00EF5EC7">
              <w:rPr>
                <w:noProof/>
                <w:webHidden/>
              </w:rPr>
              <w:fldChar w:fldCharType="separate"/>
            </w:r>
            <w:r w:rsidR="00005E88">
              <w:rPr>
                <w:noProof/>
                <w:webHidden/>
              </w:rPr>
              <w:t>6</w:t>
            </w:r>
            <w:r w:rsidR="00EF5EC7">
              <w:rPr>
                <w:noProof/>
                <w:webHidden/>
              </w:rPr>
              <w:fldChar w:fldCharType="end"/>
            </w:r>
          </w:hyperlink>
        </w:p>
        <w:p w:rsidR="00EF5EC7" w:rsidRDefault="00AD5590">
          <w:pPr>
            <w:pStyle w:val="TOC1"/>
            <w:tabs>
              <w:tab w:val="left" w:pos="660"/>
              <w:tab w:val="right" w:leader="dot" w:pos="9980"/>
            </w:tabs>
            <w:rPr>
              <w:bCs w:val="0"/>
              <w:noProof/>
              <w:lang w:eastAsia="en-US"/>
            </w:rPr>
          </w:pPr>
          <w:hyperlink w:anchor="_Toc525549608" w:history="1">
            <w:r w:rsidR="00EF5EC7" w:rsidRPr="00B8791C">
              <w:rPr>
                <w:rStyle w:val="Hyperlink"/>
                <w:noProof/>
              </w:rPr>
              <w:t>1.2.</w:t>
            </w:r>
            <w:r w:rsidR="00EF5EC7">
              <w:rPr>
                <w:bCs w:val="0"/>
                <w:noProof/>
                <w:lang w:eastAsia="en-US"/>
              </w:rPr>
              <w:tab/>
            </w:r>
            <w:r w:rsidR="00EF5EC7" w:rsidRPr="00B8791C">
              <w:rPr>
                <w:rStyle w:val="Hyperlink"/>
                <w:noProof/>
              </w:rPr>
              <w:t>Significance of CBROP</w:t>
            </w:r>
            <w:r w:rsidR="00EF5EC7">
              <w:rPr>
                <w:noProof/>
                <w:webHidden/>
              </w:rPr>
              <w:tab/>
            </w:r>
            <w:r w:rsidR="00EF5EC7">
              <w:rPr>
                <w:noProof/>
                <w:webHidden/>
              </w:rPr>
              <w:fldChar w:fldCharType="begin"/>
            </w:r>
            <w:r w:rsidR="00EF5EC7">
              <w:rPr>
                <w:noProof/>
                <w:webHidden/>
              </w:rPr>
              <w:instrText xml:space="preserve"> PAGEREF _Toc525549608 \h </w:instrText>
            </w:r>
            <w:r w:rsidR="00EF5EC7">
              <w:rPr>
                <w:noProof/>
                <w:webHidden/>
              </w:rPr>
            </w:r>
            <w:r w:rsidR="00EF5EC7">
              <w:rPr>
                <w:noProof/>
                <w:webHidden/>
              </w:rPr>
              <w:fldChar w:fldCharType="separate"/>
            </w:r>
            <w:r w:rsidR="00005E88">
              <w:rPr>
                <w:noProof/>
                <w:webHidden/>
              </w:rPr>
              <w:t>6</w:t>
            </w:r>
            <w:r w:rsidR="00EF5EC7">
              <w:rPr>
                <w:noProof/>
                <w:webHidden/>
              </w:rPr>
              <w:fldChar w:fldCharType="end"/>
            </w:r>
          </w:hyperlink>
        </w:p>
        <w:p w:rsidR="00EF5EC7" w:rsidRDefault="00AD5590">
          <w:pPr>
            <w:pStyle w:val="TOC1"/>
            <w:tabs>
              <w:tab w:val="left" w:pos="660"/>
              <w:tab w:val="right" w:leader="dot" w:pos="9980"/>
            </w:tabs>
            <w:rPr>
              <w:bCs w:val="0"/>
              <w:noProof/>
              <w:lang w:eastAsia="en-US"/>
            </w:rPr>
          </w:pPr>
          <w:hyperlink w:anchor="_Toc525549609" w:history="1">
            <w:r w:rsidR="00EF5EC7" w:rsidRPr="00B8791C">
              <w:rPr>
                <w:rStyle w:val="Hyperlink"/>
                <w:noProof/>
              </w:rPr>
              <w:t>1.3.</w:t>
            </w:r>
            <w:r w:rsidR="00EF5EC7">
              <w:rPr>
                <w:bCs w:val="0"/>
                <w:noProof/>
                <w:lang w:eastAsia="en-US"/>
              </w:rPr>
              <w:tab/>
            </w:r>
            <w:r w:rsidR="00EF5EC7" w:rsidRPr="00B8791C">
              <w:rPr>
                <w:rStyle w:val="Hyperlink"/>
                <w:noProof/>
              </w:rPr>
              <w:t>Structure</w:t>
            </w:r>
            <w:r w:rsidR="00EF5EC7">
              <w:rPr>
                <w:noProof/>
                <w:webHidden/>
              </w:rPr>
              <w:tab/>
            </w:r>
            <w:r w:rsidR="00EF5EC7">
              <w:rPr>
                <w:noProof/>
                <w:webHidden/>
              </w:rPr>
              <w:fldChar w:fldCharType="begin"/>
            </w:r>
            <w:r w:rsidR="00EF5EC7">
              <w:rPr>
                <w:noProof/>
                <w:webHidden/>
              </w:rPr>
              <w:instrText xml:space="preserve"> PAGEREF _Toc525549609 \h </w:instrText>
            </w:r>
            <w:r w:rsidR="00EF5EC7">
              <w:rPr>
                <w:noProof/>
                <w:webHidden/>
              </w:rPr>
            </w:r>
            <w:r w:rsidR="00EF5EC7">
              <w:rPr>
                <w:noProof/>
                <w:webHidden/>
              </w:rPr>
              <w:fldChar w:fldCharType="separate"/>
            </w:r>
            <w:r w:rsidR="00005E88">
              <w:rPr>
                <w:noProof/>
                <w:webHidden/>
              </w:rPr>
              <w:t>7</w:t>
            </w:r>
            <w:r w:rsidR="00EF5EC7">
              <w:rPr>
                <w:noProof/>
                <w:webHidden/>
              </w:rPr>
              <w:fldChar w:fldCharType="end"/>
            </w:r>
          </w:hyperlink>
        </w:p>
        <w:p w:rsidR="00EF5EC7" w:rsidRDefault="00AD5590">
          <w:pPr>
            <w:pStyle w:val="TOC1"/>
            <w:tabs>
              <w:tab w:val="left" w:pos="440"/>
              <w:tab w:val="right" w:leader="dot" w:pos="9980"/>
            </w:tabs>
            <w:rPr>
              <w:bCs w:val="0"/>
              <w:noProof/>
              <w:lang w:eastAsia="en-US"/>
            </w:rPr>
          </w:pPr>
          <w:hyperlink w:anchor="_Toc525549610" w:history="1">
            <w:r w:rsidR="00EF5EC7" w:rsidRPr="00B8791C">
              <w:rPr>
                <w:rStyle w:val="Hyperlink"/>
                <w:noProof/>
              </w:rPr>
              <w:t>2.</w:t>
            </w:r>
            <w:r w:rsidR="00EF5EC7">
              <w:rPr>
                <w:bCs w:val="0"/>
                <w:noProof/>
                <w:lang w:eastAsia="en-US"/>
              </w:rPr>
              <w:tab/>
            </w:r>
            <w:r w:rsidR="00EF5EC7" w:rsidRPr="00B8791C">
              <w:rPr>
                <w:rStyle w:val="Hyperlink"/>
                <w:noProof/>
              </w:rPr>
              <w:t>REVIEW OF COUNTY FISCAL PERFORMANCE IN 2017/18 FY</w:t>
            </w:r>
            <w:r w:rsidR="00EF5EC7">
              <w:rPr>
                <w:noProof/>
                <w:webHidden/>
              </w:rPr>
              <w:tab/>
            </w:r>
            <w:r w:rsidR="00EF5EC7">
              <w:rPr>
                <w:noProof/>
                <w:webHidden/>
              </w:rPr>
              <w:fldChar w:fldCharType="begin"/>
            </w:r>
            <w:r w:rsidR="00EF5EC7">
              <w:rPr>
                <w:noProof/>
                <w:webHidden/>
              </w:rPr>
              <w:instrText xml:space="preserve"> PAGEREF _Toc525549610 \h </w:instrText>
            </w:r>
            <w:r w:rsidR="00EF5EC7">
              <w:rPr>
                <w:noProof/>
                <w:webHidden/>
              </w:rPr>
            </w:r>
            <w:r w:rsidR="00EF5EC7">
              <w:rPr>
                <w:noProof/>
                <w:webHidden/>
              </w:rPr>
              <w:fldChar w:fldCharType="separate"/>
            </w:r>
            <w:r w:rsidR="00005E88">
              <w:rPr>
                <w:noProof/>
                <w:webHidden/>
              </w:rPr>
              <w:t>8</w:t>
            </w:r>
            <w:r w:rsidR="00EF5EC7">
              <w:rPr>
                <w:noProof/>
                <w:webHidden/>
              </w:rPr>
              <w:fldChar w:fldCharType="end"/>
            </w:r>
          </w:hyperlink>
        </w:p>
        <w:p w:rsidR="00EF5EC7" w:rsidRDefault="00AD5590">
          <w:pPr>
            <w:pStyle w:val="TOC1"/>
            <w:tabs>
              <w:tab w:val="left" w:pos="660"/>
              <w:tab w:val="right" w:leader="dot" w:pos="9980"/>
            </w:tabs>
            <w:rPr>
              <w:bCs w:val="0"/>
              <w:noProof/>
              <w:lang w:eastAsia="en-US"/>
            </w:rPr>
          </w:pPr>
          <w:hyperlink w:anchor="_Toc525549614" w:history="1">
            <w:r w:rsidR="00EF5EC7" w:rsidRPr="00B8791C">
              <w:rPr>
                <w:rStyle w:val="Hyperlink"/>
                <w:noProof/>
              </w:rPr>
              <w:t>2.1.</w:t>
            </w:r>
            <w:r w:rsidR="00EF5EC7">
              <w:rPr>
                <w:bCs w:val="0"/>
                <w:noProof/>
                <w:lang w:eastAsia="en-US"/>
              </w:rPr>
              <w:tab/>
            </w:r>
            <w:r w:rsidR="00EF5EC7" w:rsidRPr="00B8791C">
              <w:rPr>
                <w:rStyle w:val="Hyperlink"/>
                <w:noProof/>
              </w:rPr>
              <w:t>Overview</w:t>
            </w:r>
            <w:r w:rsidR="00EF5EC7">
              <w:rPr>
                <w:noProof/>
                <w:webHidden/>
              </w:rPr>
              <w:tab/>
            </w:r>
            <w:r w:rsidR="00EF5EC7">
              <w:rPr>
                <w:noProof/>
                <w:webHidden/>
              </w:rPr>
              <w:fldChar w:fldCharType="begin"/>
            </w:r>
            <w:r w:rsidR="00EF5EC7">
              <w:rPr>
                <w:noProof/>
                <w:webHidden/>
              </w:rPr>
              <w:instrText xml:space="preserve"> PAGEREF _Toc525549614 \h </w:instrText>
            </w:r>
            <w:r w:rsidR="00EF5EC7">
              <w:rPr>
                <w:noProof/>
                <w:webHidden/>
              </w:rPr>
            </w:r>
            <w:r w:rsidR="00EF5EC7">
              <w:rPr>
                <w:noProof/>
                <w:webHidden/>
              </w:rPr>
              <w:fldChar w:fldCharType="separate"/>
            </w:r>
            <w:r w:rsidR="00005E88">
              <w:rPr>
                <w:noProof/>
                <w:webHidden/>
              </w:rPr>
              <w:t>8</w:t>
            </w:r>
            <w:r w:rsidR="00EF5EC7">
              <w:rPr>
                <w:noProof/>
                <w:webHidden/>
              </w:rPr>
              <w:fldChar w:fldCharType="end"/>
            </w:r>
          </w:hyperlink>
        </w:p>
        <w:p w:rsidR="00EF5EC7" w:rsidRDefault="00AD5590">
          <w:pPr>
            <w:pStyle w:val="TOC1"/>
            <w:tabs>
              <w:tab w:val="left" w:pos="660"/>
              <w:tab w:val="right" w:leader="dot" w:pos="9980"/>
            </w:tabs>
            <w:rPr>
              <w:bCs w:val="0"/>
              <w:noProof/>
              <w:lang w:eastAsia="en-US"/>
            </w:rPr>
          </w:pPr>
          <w:hyperlink w:anchor="_Toc525549615" w:history="1">
            <w:r w:rsidR="00EF5EC7" w:rsidRPr="00B8791C">
              <w:rPr>
                <w:rStyle w:val="Hyperlink"/>
                <w:noProof/>
              </w:rPr>
              <w:t>2.2.</w:t>
            </w:r>
            <w:r w:rsidR="00EF5EC7">
              <w:rPr>
                <w:bCs w:val="0"/>
                <w:noProof/>
                <w:lang w:eastAsia="en-US"/>
              </w:rPr>
              <w:tab/>
            </w:r>
            <w:r w:rsidR="00EF5EC7" w:rsidRPr="00B8791C">
              <w:rPr>
                <w:rStyle w:val="Hyperlink"/>
                <w:noProof/>
              </w:rPr>
              <w:t>Fiscal Performance</w:t>
            </w:r>
            <w:r w:rsidR="00EF5EC7">
              <w:rPr>
                <w:noProof/>
                <w:webHidden/>
              </w:rPr>
              <w:tab/>
            </w:r>
            <w:r w:rsidR="00EF5EC7">
              <w:rPr>
                <w:noProof/>
                <w:webHidden/>
              </w:rPr>
              <w:fldChar w:fldCharType="begin"/>
            </w:r>
            <w:r w:rsidR="00EF5EC7">
              <w:rPr>
                <w:noProof/>
                <w:webHidden/>
              </w:rPr>
              <w:instrText xml:space="preserve"> PAGEREF _Toc525549615 \h </w:instrText>
            </w:r>
            <w:r w:rsidR="00EF5EC7">
              <w:rPr>
                <w:noProof/>
                <w:webHidden/>
              </w:rPr>
            </w:r>
            <w:r w:rsidR="00EF5EC7">
              <w:rPr>
                <w:noProof/>
                <w:webHidden/>
              </w:rPr>
              <w:fldChar w:fldCharType="separate"/>
            </w:r>
            <w:r w:rsidR="00005E88">
              <w:rPr>
                <w:noProof/>
                <w:webHidden/>
              </w:rPr>
              <w:t>9</w:t>
            </w:r>
            <w:r w:rsidR="00EF5EC7">
              <w:rPr>
                <w:noProof/>
                <w:webHidden/>
              </w:rPr>
              <w:fldChar w:fldCharType="end"/>
            </w:r>
          </w:hyperlink>
        </w:p>
        <w:p w:rsidR="00EF5EC7" w:rsidRDefault="00AD5590">
          <w:pPr>
            <w:pStyle w:val="TOC1"/>
            <w:tabs>
              <w:tab w:val="left" w:pos="880"/>
              <w:tab w:val="right" w:leader="dot" w:pos="9980"/>
            </w:tabs>
            <w:rPr>
              <w:bCs w:val="0"/>
              <w:noProof/>
              <w:lang w:eastAsia="en-US"/>
            </w:rPr>
          </w:pPr>
          <w:hyperlink w:anchor="_Toc525549616" w:history="1">
            <w:r w:rsidR="00EF5EC7" w:rsidRPr="00B8791C">
              <w:rPr>
                <w:rStyle w:val="Hyperlink"/>
                <w:noProof/>
              </w:rPr>
              <w:t>2.2.1.</w:t>
            </w:r>
            <w:r w:rsidR="00EF5EC7">
              <w:rPr>
                <w:bCs w:val="0"/>
                <w:noProof/>
                <w:lang w:eastAsia="en-US"/>
              </w:rPr>
              <w:tab/>
            </w:r>
            <w:r w:rsidR="00EF5EC7" w:rsidRPr="00B8791C">
              <w:rPr>
                <w:rStyle w:val="Hyperlink"/>
                <w:noProof/>
              </w:rPr>
              <w:t>Revenue Performance</w:t>
            </w:r>
            <w:r w:rsidR="00EF5EC7">
              <w:rPr>
                <w:noProof/>
                <w:webHidden/>
              </w:rPr>
              <w:tab/>
            </w:r>
            <w:r w:rsidR="00EF5EC7">
              <w:rPr>
                <w:noProof/>
                <w:webHidden/>
              </w:rPr>
              <w:fldChar w:fldCharType="begin"/>
            </w:r>
            <w:r w:rsidR="00EF5EC7">
              <w:rPr>
                <w:noProof/>
                <w:webHidden/>
              </w:rPr>
              <w:instrText xml:space="preserve"> PAGEREF _Toc525549616 \h </w:instrText>
            </w:r>
            <w:r w:rsidR="00EF5EC7">
              <w:rPr>
                <w:noProof/>
                <w:webHidden/>
              </w:rPr>
            </w:r>
            <w:r w:rsidR="00EF5EC7">
              <w:rPr>
                <w:noProof/>
                <w:webHidden/>
              </w:rPr>
              <w:fldChar w:fldCharType="separate"/>
            </w:r>
            <w:r w:rsidR="00005E88">
              <w:rPr>
                <w:noProof/>
                <w:webHidden/>
              </w:rPr>
              <w:t>9</w:t>
            </w:r>
            <w:r w:rsidR="00EF5EC7">
              <w:rPr>
                <w:noProof/>
                <w:webHidden/>
              </w:rPr>
              <w:fldChar w:fldCharType="end"/>
            </w:r>
          </w:hyperlink>
        </w:p>
        <w:p w:rsidR="00EF5EC7" w:rsidRDefault="00AD5590">
          <w:pPr>
            <w:pStyle w:val="TOC1"/>
            <w:tabs>
              <w:tab w:val="left" w:pos="880"/>
              <w:tab w:val="right" w:leader="dot" w:pos="9980"/>
            </w:tabs>
            <w:rPr>
              <w:bCs w:val="0"/>
              <w:noProof/>
              <w:lang w:eastAsia="en-US"/>
            </w:rPr>
          </w:pPr>
          <w:hyperlink w:anchor="_Toc525549617" w:history="1">
            <w:r w:rsidR="00EF5EC7" w:rsidRPr="00B8791C">
              <w:rPr>
                <w:rStyle w:val="Hyperlink"/>
                <w:noProof/>
              </w:rPr>
              <w:t>2.2.2.</w:t>
            </w:r>
            <w:r w:rsidR="00EF5EC7">
              <w:rPr>
                <w:bCs w:val="0"/>
                <w:noProof/>
                <w:lang w:eastAsia="en-US"/>
              </w:rPr>
              <w:tab/>
            </w:r>
            <w:r w:rsidR="00EF5EC7" w:rsidRPr="00B8791C">
              <w:rPr>
                <w:rStyle w:val="Hyperlink"/>
                <w:noProof/>
              </w:rPr>
              <w:t>Expenditure Performance</w:t>
            </w:r>
            <w:r w:rsidR="00EF5EC7">
              <w:rPr>
                <w:noProof/>
                <w:webHidden/>
              </w:rPr>
              <w:tab/>
            </w:r>
            <w:r w:rsidR="00EF5EC7">
              <w:rPr>
                <w:noProof/>
                <w:webHidden/>
              </w:rPr>
              <w:fldChar w:fldCharType="begin"/>
            </w:r>
            <w:r w:rsidR="00EF5EC7">
              <w:rPr>
                <w:noProof/>
                <w:webHidden/>
              </w:rPr>
              <w:instrText xml:space="preserve"> PAGEREF _Toc525549617 \h </w:instrText>
            </w:r>
            <w:r w:rsidR="00EF5EC7">
              <w:rPr>
                <w:noProof/>
                <w:webHidden/>
              </w:rPr>
            </w:r>
            <w:r w:rsidR="00EF5EC7">
              <w:rPr>
                <w:noProof/>
                <w:webHidden/>
              </w:rPr>
              <w:fldChar w:fldCharType="separate"/>
            </w:r>
            <w:r w:rsidR="00005E88">
              <w:rPr>
                <w:noProof/>
                <w:webHidden/>
              </w:rPr>
              <w:t>10</w:t>
            </w:r>
            <w:r w:rsidR="00EF5EC7">
              <w:rPr>
                <w:noProof/>
                <w:webHidden/>
              </w:rPr>
              <w:fldChar w:fldCharType="end"/>
            </w:r>
          </w:hyperlink>
        </w:p>
        <w:p w:rsidR="00EF5EC7" w:rsidRDefault="00AD5590">
          <w:pPr>
            <w:pStyle w:val="TOC1"/>
            <w:tabs>
              <w:tab w:val="left" w:pos="1100"/>
              <w:tab w:val="right" w:leader="dot" w:pos="9980"/>
            </w:tabs>
            <w:rPr>
              <w:bCs w:val="0"/>
              <w:noProof/>
              <w:lang w:eastAsia="en-US"/>
            </w:rPr>
          </w:pPr>
          <w:hyperlink w:anchor="_Toc525549618" w:history="1">
            <w:r w:rsidR="00EF5EC7" w:rsidRPr="00B8791C">
              <w:rPr>
                <w:rStyle w:val="Hyperlink"/>
                <w:noProof/>
              </w:rPr>
              <w:t>2.2.2.1.</w:t>
            </w:r>
            <w:r w:rsidR="00EF5EC7">
              <w:rPr>
                <w:bCs w:val="0"/>
                <w:noProof/>
                <w:lang w:eastAsia="en-US"/>
              </w:rPr>
              <w:tab/>
            </w:r>
            <w:r w:rsidR="00EF5EC7" w:rsidRPr="00B8791C">
              <w:rPr>
                <w:rStyle w:val="Hyperlink"/>
                <w:noProof/>
              </w:rPr>
              <w:t>Budget absorption and comparison between CFSP 2017 Ceilings and FY 2017/18 budget</w:t>
            </w:r>
            <w:r w:rsidR="00EF5EC7">
              <w:rPr>
                <w:noProof/>
                <w:webHidden/>
              </w:rPr>
              <w:tab/>
            </w:r>
            <w:r w:rsidR="00EF5EC7">
              <w:rPr>
                <w:noProof/>
                <w:webHidden/>
              </w:rPr>
              <w:fldChar w:fldCharType="begin"/>
            </w:r>
            <w:r w:rsidR="00EF5EC7">
              <w:rPr>
                <w:noProof/>
                <w:webHidden/>
              </w:rPr>
              <w:instrText xml:space="preserve"> PAGEREF _Toc525549618 \h </w:instrText>
            </w:r>
            <w:r w:rsidR="00EF5EC7">
              <w:rPr>
                <w:noProof/>
                <w:webHidden/>
              </w:rPr>
            </w:r>
            <w:r w:rsidR="00EF5EC7">
              <w:rPr>
                <w:noProof/>
                <w:webHidden/>
              </w:rPr>
              <w:fldChar w:fldCharType="separate"/>
            </w:r>
            <w:r w:rsidR="00005E88">
              <w:rPr>
                <w:noProof/>
                <w:webHidden/>
              </w:rPr>
              <w:t>11</w:t>
            </w:r>
            <w:r w:rsidR="00EF5EC7">
              <w:rPr>
                <w:noProof/>
                <w:webHidden/>
              </w:rPr>
              <w:fldChar w:fldCharType="end"/>
            </w:r>
          </w:hyperlink>
        </w:p>
        <w:p w:rsidR="00EF5EC7" w:rsidRDefault="00AD5590">
          <w:pPr>
            <w:pStyle w:val="TOC1"/>
            <w:tabs>
              <w:tab w:val="left" w:pos="1100"/>
              <w:tab w:val="right" w:leader="dot" w:pos="9980"/>
            </w:tabs>
            <w:rPr>
              <w:bCs w:val="0"/>
              <w:noProof/>
              <w:lang w:eastAsia="en-US"/>
            </w:rPr>
          </w:pPr>
          <w:hyperlink w:anchor="_Toc525549619" w:history="1">
            <w:r w:rsidR="00EF5EC7" w:rsidRPr="00B8791C">
              <w:rPr>
                <w:rStyle w:val="Hyperlink"/>
                <w:noProof/>
              </w:rPr>
              <w:t>2.2.2.2.</w:t>
            </w:r>
            <w:r w:rsidR="00EF5EC7">
              <w:rPr>
                <w:bCs w:val="0"/>
                <w:noProof/>
                <w:lang w:eastAsia="en-US"/>
              </w:rPr>
              <w:tab/>
            </w:r>
            <w:r w:rsidR="00EF5EC7" w:rsidRPr="00B8791C">
              <w:rPr>
                <w:rStyle w:val="Hyperlink"/>
                <w:noProof/>
              </w:rPr>
              <w:t>Recurrent and development expenditure</w:t>
            </w:r>
            <w:r w:rsidR="00EF5EC7">
              <w:rPr>
                <w:noProof/>
                <w:webHidden/>
              </w:rPr>
              <w:tab/>
            </w:r>
            <w:r w:rsidR="00EF5EC7">
              <w:rPr>
                <w:noProof/>
                <w:webHidden/>
              </w:rPr>
              <w:fldChar w:fldCharType="begin"/>
            </w:r>
            <w:r w:rsidR="00EF5EC7">
              <w:rPr>
                <w:noProof/>
                <w:webHidden/>
              </w:rPr>
              <w:instrText xml:space="preserve"> PAGEREF _Toc525549619 \h </w:instrText>
            </w:r>
            <w:r w:rsidR="00EF5EC7">
              <w:rPr>
                <w:noProof/>
                <w:webHidden/>
              </w:rPr>
            </w:r>
            <w:r w:rsidR="00EF5EC7">
              <w:rPr>
                <w:noProof/>
                <w:webHidden/>
              </w:rPr>
              <w:fldChar w:fldCharType="separate"/>
            </w:r>
            <w:r w:rsidR="00005E88">
              <w:rPr>
                <w:noProof/>
                <w:webHidden/>
              </w:rPr>
              <w:t>13</w:t>
            </w:r>
            <w:r w:rsidR="00EF5EC7">
              <w:rPr>
                <w:noProof/>
                <w:webHidden/>
              </w:rPr>
              <w:fldChar w:fldCharType="end"/>
            </w:r>
          </w:hyperlink>
        </w:p>
        <w:p w:rsidR="00EF5EC7" w:rsidRDefault="00AD5590">
          <w:pPr>
            <w:pStyle w:val="TOC1"/>
            <w:tabs>
              <w:tab w:val="left" w:pos="1100"/>
              <w:tab w:val="right" w:leader="dot" w:pos="9980"/>
            </w:tabs>
            <w:rPr>
              <w:bCs w:val="0"/>
              <w:noProof/>
              <w:lang w:eastAsia="en-US"/>
            </w:rPr>
          </w:pPr>
          <w:hyperlink w:anchor="_Toc525549620" w:history="1">
            <w:r w:rsidR="00EF5EC7" w:rsidRPr="00B8791C">
              <w:rPr>
                <w:rStyle w:val="Hyperlink"/>
                <w:noProof/>
              </w:rPr>
              <w:t>2.2.2.3.</w:t>
            </w:r>
            <w:r w:rsidR="00EF5EC7">
              <w:rPr>
                <w:bCs w:val="0"/>
                <w:noProof/>
                <w:lang w:eastAsia="en-US"/>
              </w:rPr>
              <w:tab/>
            </w:r>
            <w:r w:rsidR="00EF5EC7" w:rsidRPr="00B8791C">
              <w:rPr>
                <w:rStyle w:val="Hyperlink"/>
                <w:noProof/>
              </w:rPr>
              <w:t>Expenditure per economic classification</w:t>
            </w:r>
            <w:r w:rsidR="00EF5EC7">
              <w:rPr>
                <w:noProof/>
                <w:webHidden/>
              </w:rPr>
              <w:tab/>
            </w:r>
            <w:r w:rsidR="00EF5EC7">
              <w:rPr>
                <w:noProof/>
                <w:webHidden/>
              </w:rPr>
              <w:fldChar w:fldCharType="begin"/>
            </w:r>
            <w:r w:rsidR="00EF5EC7">
              <w:rPr>
                <w:noProof/>
                <w:webHidden/>
              </w:rPr>
              <w:instrText xml:space="preserve"> PAGEREF _Toc525549620 \h </w:instrText>
            </w:r>
            <w:r w:rsidR="00EF5EC7">
              <w:rPr>
                <w:noProof/>
                <w:webHidden/>
              </w:rPr>
            </w:r>
            <w:r w:rsidR="00EF5EC7">
              <w:rPr>
                <w:noProof/>
                <w:webHidden/>
              </w:rPr>
              <w:fldChar w:fldCharType="separate"/>
            </w:r>
            <w:r w:rsidR="00005E88">
              <w:rPr>
                <w:noProof/>
                <w:webHidden/>
              </w:rPr>
              <w:t>14</w:t>
            </w:r>
            <w:r w:rsidR="00EF5EC7">
              <w:rPr>
                <w:noProof/>
                <w:webHidden/>
              </w:rPr>
              <w:fldChar w:fldCharType="end"/>
            </w:r>
          </w:hyperlink>
        </w:p>
        <w:p w:rsidR="00EF5EC7" w:rsidRDefault="00AD5590">
          <w:pPr>
            <w:pStyle w:val="TOC1"/>
            <w:tabs>
              <w:tab w:val="left" w:pos="880"/>
              <w:tab w:val="right" w:leader="dot" w:pos="9980"/>
            </w:tabs>
            <w:rPr>
              <w:bCs w:val="0"/>
              <w:noProof/>
              <w:lang w:eastAsia="en-US"/>
            </w:rPr>
          </w:pPr>
          <w:hyperlink w:anchor="_Toc525549621" w:history="1">
            <w:r w:rsidR="00EF5EC7" w:rsidRPr="00B8791C">
              <w:rPr>
                <w:rStyle w:val="Hyperlink"/>
                <w:noProof/>
              </w:rPr>
              <w:t>2.2.3.</w:t>
            </w:r>
            <w:r w:rsidR="00EF5EC7">
              <w:rPr>
                <w:bCs w:val="0"/>
                <w:noProof/>
                <w:lang w:eastAsia="en-US"/>
              </w:rPr>
              <w:tab/>
            </w:r>
            <w:r w:rsidR="00EF5EC7" w:rsidRPr="00B8791C">
              <w:rPr>
                <w:rStyle w:val="Hyperlink"/>
                <w:noProof/>
              </w:rPr>
              <w:t>Implications for the FY 2017/18 performance</w:t>
            </w:r>
            <w:r w:rsidR="00EF5EC7">
              <w:rPr>
                <w:noProof/>
                <w:webHidden/>
              </w:rPr>
              <w:tab/>
            </w:r>
            <w:r w:rsidR="00EF5EC7">
              <w:rPr>
                <w:noProof/>
                <w:webHidden/>
              </w:rPr>
              <w:fldChar w:fldCharType="begin"/>
            </w:r>
            <w:r w:rsidR="00EF5EC7">
              <w:rPr>
                <w:noProof/>
                <w:webHidden/>
              </w:rPr>
              <w:instrText xml:space="preserve"> PAGEREF _Toc525549621 \h </w:instrText>
            </w:r>
            <w:r w:rsidR="00EF5EC7">
              <w:rPr>
                <w:noProof/>
                <w:webHidden/>
              </w:rPr>
            </w:r>
            <w:r w:rsidR="00EF5EC7">
              <w:rPr>
                <w:noProof/>
                <w:webHidden/>
              </w:rPr>
              <w:fldChar w:fldCharType="separate"/>
            </w:r>
            <w:r w:rsidR="00005E88">
              <w:rPr>
                <w:noProof/>
                <w:webHidden/>
              </w:rPr>
              <w:t>14</w:t>
            </w:r>
            <w:r w:rsidR="00EF5EC7">
              <w:rPr>
                <w:noProof/>
                <w:webHidden/>
              </w:rPr>
              <w:fldChar w:fldCharType="end"/>
            </w:r>
          </w:hyperlink>
        </w:p>
        <w:p w:rsidR="00EF5EC7" w:rsidRDefault="00AD5590">
          <w:pPr>
            <w:pStyle w:val="TOC1"/>
            <w:tabs>
              <w:tab w:val="left" w:pos="440"/>
              <w:tab w:val="right" w:leader="dot" w:pos="9980"/>
            </w:tabs>
            <w:rPr>
              <w:bCs w:val="0"/>
              <w:noProof/>
              <w:lang w:eastAsia="en-US"/>
            </w:rPr>
          </w:pPr>
          <w:hyperlink w:anchor="_Toc525549622" w:history="1">
            <w:r w:rsidR="00EF5EC7" w:rsidRPr="00B8791C">
              <w:rPr>
                <w:rStyle w:val="Hyperlink"/>
                <w:noProof/>
              </w:rPr>
              <w:t>3.</w:t>
            </w:r>
            <w:r w:rsidR="00EF5EC7">
              <w:rPr>
                <w:bCs w:val="0"/>
                <w:noProof/>
                <w:lang w:eastAsia="en-US"/>
              </w:rPr>
              <w:tab/>
            </w:r>
            <w:r w:rsidR="00EF5EC7" w:rsidRPr="00B8791C">
              <w:rPr>
                <w:rStyle w:val="Hyperlink"/>
                <w:noProof/>
              </w:rPr>
              <w:t>RECENT ECONOMIC DEVELOPMENTS AND OUTLOOK</w:t>
            </w:r>
            <w:r w:rsidR="00EF5EC7">
              <w:rPr>
                <w:noProof/>
                <w:webHidden/>
              </w:rPr>
              <w:tab/>
            </w:r>
            <w:r w:rsidR="00EF5EC7">
              <w:rPr>
                <w:noProof/>
                <w:webHidden/>
              </w:rPr>
              <w:fldChar w:fldCharType="begin"/>
            </w:r>
            <w:r w:rsidR="00EF5EC7">
              <w:rPr>
                <w:noProof/>
                <w:webHidden/>
              </w:rPr>
              <w:instrText xml:space="preserve"> PAGEREF _Toc525549622 \h </w:instrText>
            </w:r>
            <w:r w:rsidR="00EF5EC7">
              <w:rPr>
                <w:noProof/>
                <w:webHidden/>
              </w:rPr>
            </w:r>
            <w:r w:rsidR="00EF5EC7">
              <w:rPr>
                <w:noProof/>
                <w:webHidden/>
              </w:rPr>
              <w:fldChar w:fldCharType="separate"/>
            </w:r>
            <w:r w:rsidR="00005E88">
              <w:rPr>
                <w:noProof/>
                <w:webHidden/>
              </w:rPr>
              <w:t>17</w:t>
            </w:r>
            <w:r w:rsidR="00EF5EC7">
              <w:rPr>
                <w:noProof/>
                <w:webHidden/>
              </w:rPr>
              <w:fldChar w:fldCharType="end"/>
            </w:r>
          </w:hyperlink>
        </w:p>
        <w:p w:rsidR="00EF5EC7" w:rsidRDefault="00AD5590">
          <w:pPr>
            <w:pStyle w:val="TOC1"/>
            <w:tabs>
              <w:tab w:val="left" w:pos="440"/>
              <w:tab w:val="right" w:leader="dot" w:pos="9980"/>
            </w:tabs>
            <w:rPr>
              <w:bCs w:val="0"/>
              <w:noProof/>
              <w:lang w:eastAsia="en-US"/>
            </w:rPr>
          </w:pPr>
          <w:hyperlink w:anchor="_Toc525549623" w:history="1">
            <w:r w:rsidR="00EF5EC7" w:rsidRPr="00B8791C">
              <w:rPr>
                <w:rStyle w:val="Hyperlink"/>
                <w:noProof/>
              </w:rPr>
              <w:t>4.</w:t>
            </w:r>
            <w:r w:rsidR="00EF5EC7">
              <w:rPr>
                <w:bCs w:val="0"/>
                <w:noProof/>
                <w:lang w:eastAsia="en-US"/>
              </w:rPr>
              <w:tab/>
            </w:r>
            <w:r w:rsidR="00EF5EC7" w:rsidRPr="00B8791C">
              <w:rPr>
                <w:rStyle w:val="Hyperlink"/>
                <w:noProof/>
              </w:rPr>
              <w:t>RESOURCE ALLOCATION FRAMEWORK</w:t>
            </w:r>
            <w:r w:rsidR="00EF5EC7">
              <w:rPr>
                <w:noProof/>
                <w:webHidden/>
              </w:rPr>
              <w:tab/>
            </w:r>
            <w:r w:rsidR="00EF5EC7">
              <w:rPr>
                <w:noProof/>
                <w:webHidden/>
              </w:rPr>
              <w:fldChar w:fldCharType="begin"/>
            </w:r>
            <w:r w:rsidR="00EF5EC7">
              <w:rPr>
                <w:noProof/>
                <w:webHidden/>
              </w:rPr>
              <w:instrText xml:space="preserve"> PAGEREF _Toc525549623 \h </w:instrText>
            </w:r>
            <w:r w:rsidR="00EF5EC7">
              <w:rPr>
                <w:noProof/>
                <w:webHidden/>
              </w:rPr>
            </w:r>
            <w:r w:rsidR="00EF5EC7">
              <w:rPr>
                <w:noProof/>
                <w:webHidden/>
              </w:rPr>
              <w:fldChar w:fldCharType="separate"/>
            </w:r>
            <w:r w:rsidR="00005E88">
              <w:rPr>
                <w:noProof/>
                <w:webHidden/>
              </w:rPr>
              <w:t>21</w:t>
            </w:r>
            <w:r w:rsidR="00EF5EC7">
              <w:rPr>
                <w:noProof/>
                <w:webHidden/>
              </w:rPr>
              <w:fldChar w:fldCharType="end"/>
            </w:r>
          </w:hyperlink>
        </w:p>
        <w:p w:rsidR="00EF5EC7" w:rsidRDefault="00AD5590">
          <w:pPr>
            <w:pStyle w:val="TOC1"/>
            <w:tabs>
              <w:tab w:val="left" w:pos="440"/>
              <w:tab w:val="right" w:leader="dot" w:pos="9980"/>
            </w:tabs>
            <w:rPr>
              <w:bCs w:val="0"/>
              <w:noProof/>
              <w:lang w:eastAsia="en-US"/>
            </w:rPr>
          </w:pPr>
          <w:hyperlink w:anchor="_Toc525549624" w:history="1">
            <w:r w:rsidR="00EF5EC7" w:rsidRPr="00B8791C">
              <w:rPr>
                <w:rStyle w:val="Hyperlink"/>
                <w:noProof/>
              </w:rPr>
              <w:t>5.</w:t>
            </w:r>
            <w:r w:rsidR="00EF5EC7">
              <w:rPr>
                <w:bCs w:val="0"/>
                <w:noProof/>
                <w:lang w:eastAsia="en-US"/>
              </w:rPr>
              <w:tab/>
            </w:r>
            <w:r w:rsidR="00EF5EC7" w:rsidRPr="00B8791C">
              <w:rPr>
                <w:rStyle w:val="Hyperlink"/>
                <w:noProof/>
              </w:rPr>
              <w:t>CONCLUSION</w:t>
            </w:r>
            <w:r w:rsidR="00EF5EC7">
              <w:rPr>
                <w:noProof/>
                <w:webHidden/>
              </w:rPr>
              <w:tab/>
            </w:r>
            <w:r w:rsidR="00EF5EC7">
              <w:rPr>
                <w:noProof/>
                <w:webHidden/>
              </w:rPr>
              <w:fldChar w:fldCharType="begin"/>
            </w:r>
            <w:r w:rsidR="00EF5EC7">
              <w:rPr>
                <w:noProof/>
                <w:webHidden/>
              </w:rPr>
              <w:instrText xml:space="preserve"> PAGEREF _Toc525549624 \h </w:instrText>
            </w:r>
            <w:r w:rsidR="00EF5EC7">
              <w:rPr>
                <w:noProof/>
                <w:webHidden/>
              </w:rPr>
            </w:r>
            <w:r w:rsidR="00EF5EC7">
              <w:rPr>
                <w:noProof/>
                <w:webHidden/>
              </w:rPr>
              <w:fldChar w:fldCharType="separate"/>
            </w:r>
            <w:r w:rsidR="00005E88">
              <w:rPr>
                <w:noProof/>
                <w:webHidden/>
              </w:rPr>
              <w:t>25</w:t>
            </w:r>
            <w:r w:rsidR="00EF5EC7">
              <w:rPr>
                <w:noProof/>
                <w:webHidden/>
              </w:rPr>
              <w:fldChar w:fldCharType="end"/>
            </w:r>
          </w:hyperlink>
        </w:p>
        <w:p w:rsidR="00EF5EC7" w:rsidRDefault="00AD5590">
          <w:pPr>
            <w:pStyle w:val="TOC1"/>
            <w:tabs>
              <w:tab w:val="right" w:leader="dot" w:pos="9980"/>
            </w:tabs>
            <w:rPr>
              <w:bCs w:val="0"/>
              <w:noProof/>
              <w:lang w:eastAsia="en-US"/>
            </w:rPr>
          </w:pPr>
          <w:hyperlink w:anchor="_Toc525549625" w:history="1">
            <w:r w:rsidR="00EF5EC7" w:rsidRPr="00B8791C">
              <w:rPr>
                <w:rStyle w:val="Hyperlink"/>
                <w:noProof/>
              </w:rPr>
              <w:t>ANNEXES</w:t>
            </w:r>
            <w:r w:rsidR="00EF5EC7">
              <w:rPr>
                <w:noProof/>
                <w:webHidden/>
              </w:rPr>
              <w:tab/>
            </w:r>
            <w:r w:rsidR="00EF5EC7">
              <w:rPr>
                <w:noProof/>
                <w:webHidden/>
              </w:rPr>
              <w:fldChar w:fldCharType="begin"/>
            </w:r>
            <w:r w:rsidR="00EF5EC7">
              <w:rPr>
                <w:noProof/>
                <w:webHidden/>
              </w:rPr>
              <w:instrText xml:space="preserve"> PAGEREF _Toc525549625 \h </w:instrText>
            </w:r>
            <w:r w:rsidR="00EF5EC7">
              <w:rPr>
                <w:noProof/>
                <w:webHidden/>
              </w:rPr>
            </w:r>
            <w:r w:rsidR="00EF5EC7">
              <w:rPr>
                <w:noProof/>
                <w:webHidden/>
              </w:rPr>
              <w:fldChar w:fldCharType="separate"/>
            </w:r>
            <w:r w:rsidR="00005E88">
              <w:rPr>
                <w:noProof/>
                <w:webHidden/>
              </w:rPr>
              <w:t>26</w:t>
            </w:r>
            <w:r w:rsidR="00EF5EC7">
              <w:rPr>
                <w:noProof/>
                <w:webHidden/>
              </w:rPr>
              <w:fldChar w:fldCharType="end"/>
            </w:r>
          </w:hyperlink>
        </w:p>
        <w:p w:rsidR="004A1DC1" w:rsidRDefault="004A1DC1">
          <w:r>
            <w:rPr>
              <w:b/>
              <w:bCs/>
              <w:noProof/>
            </w:rPr>
            <w:fldChar w:fldCharType="end"/>
          </w:r>
        </w:p>
      </w:sdtContent>
    </w:sdt>
    <w:p w:rsidR="004041C1" w:rsidRDefault="004041C1" w:rsidP="004B13B4">
      <w:pPr>
        <w:spacing w:after="0" w:line="240" w:lineRule="auto"/>
        <w:jc w:val="center"/>
        <w:rPr>
          <w:rStyle w:val="Hyperlink"/>
          <w:rFonts w:cstheme="minorHAnsi"/>
          <w:sz w:val="24"/>
          <w:szCs w:val="24"/>
          <w:u w:val="none"/>
        </w:rPr>
      </w:pPr>
    </w:p>
    <w:p w:rsidR="004041C1" w:rsidRDefault="004041C1" w:rsidP="004B13B4">
      <w:pPr>
        <w:spacing w:after="0" w:line="240" w:lineRule="auto"/>
        <w:jc w:val="center"/>
        <w:rPr>
          <w:rStyle w:val="Hyperlink"/>
          <w:rFonts w:cstheme="minorHAnsi"/>
          <w:sz w:val="24"/>
          <w:szCs w:val="24"/>
          <w:u w:val="none"/>
        </w:rPr>
        <w:sectPr w:rsidR="004041C1" w:rsidSect="00F41687">
          <w:pgSz w:w="11907" w:h="16839" w:code="9"/>
          <w:pgMar w:top="1440" w:right="927" w:bottom="1440" w:left="990" w:header="720" w:footer="720" w:gutter="0"/>
          <w:cols w:space="720"/>
          <w:titlePg/>
          <w:docGrid w:linePitch="360"/>
        </w:sectPr>
      </w:pPr>
    </w:p>
    <w:p w:rsidR="007951B5" w:rsidRPr="00223805" w:rsidRDefault="007951B5" w:rsidP="00223805">
      <w:pPr>
        <w:pStyle w:val="Heading1"/>
        <w:spacing w:after="240"/>
        <w:rPr>
          <w:color w:val="auto"/>
        </w:rPr>
      </w:pPr>
      <w:bookmarkStart w:id="0" w:name="_Toc525549601"/>
      <w:r w:rsidRPr="00223805">
        <w:rPr>
          <w:color w:val="auto"/>
        </w:rPr>
        <w:lastRenderedPageBreak/>
        <w:t>Foreword</w:t>
      </w:r>
      <w:bookmarkEnd w:id="0"/>
    </w:p>
    <w:p w:rsidR="007951B5" w:rsidRPr="00C4418D" w:rsidRDefault="00FA19CA" w:rsidP="007951B5">
      <w:pPr>
        <w:jc w:val="both"/>
        <w:rPr>
          <w:rFonts w:cstheme="minorHAnsi"/>
          <w:sz w:val="24"/>
          <w:szCs w:val="24"/>
        </w:rPr>
      </w:pPr>
      <w:r w:rsidRPr="00C4418D">
        <w:rPr>
          <w:rFonts w:cstheme="minorHAnsi"/>
          <w:sz w:val="24"/>
          <w:szCs w:val="24"/>
        </w:rPr>
        <w:t>The County Budget Revie</w:t>
      </w:r>
      <w:r w:rsidR="005A69FB">
        <w:rPr>
          <w:rFonts w:cstheme="minorHAnsi"/>
          <w:sz w:val="24"/>
          <w:szCs w:val="24"/>
        </w:rPr>
        <w:t>w and Outlook Paper (CBROP) 2022</w:t>
      </w:r>
      <w:r w:rsidRPr="00C4418D">
        <w:rPr>
          <w:rFonts w:cstheme="minorHAnsi"/>
          <w:sz w:val="24"/>
          <w:szCs w:val="24"/>
        </w:rPr>
        <w:t xml:space="preserve"> has been prepared in line with section 118 of the Public Finance</w:t>
      </w:r>
      <w:r w:rsidR="00D8642F">
        <w:rPr>
          <w:rFonts w:cstheme="minorHAnsi"/>
          <w:sz w:val="24"/>
          <w:szCs w:val="24"/>
        </w:rPr>
        <w:t xml:space="preserve"> Management (PFM) Act 2012. This section</w:t>
      </w:r>
      <w:r w:rsidRPr="00C4418D">
        <w:rPr>
          <w:rFonts w:cstheme="minorHAnsi"/>
          <w:sz w:val="24"/>
          <w:szCs w:val="24"/>
        </w:rPr>
        <w:t xml:space="preserve"> requires the county government to prepare a budget review and outlook paper in r</w:t>
      </w:r>
      <w:r w:rsidR="00D8642F">
        <w:rPr>
          <w:rFonts w:cstheme="minorHAnsi"/>
          <w:sz w:val="24"/>
          <w:szCs w:val="24"/>
        </w:rPr>
        <w:t xml:space="preserve">espect for each financial year </w:t>
      </w:r>
      <w:r w:rsidRPr="00C4418D">
        <w:rPr>
          <w:rFonts w:cstheme="minorHAnsi"/>
          <w:sz w:val="24"/>
          <w:szCs w:val="24"/>
        </w:rPr>
        <w:t>and submit it to the County Executive Committee by 30</w:t>
      </w:r>
      <w:r w:rsidRPr="005A69FB">
        <w:rPr>
          <w:rFonts w:cstheme="minorHAnsi"/>
          <w:sz w:val="24"/>
          <w:szCs w:val="24"/>
          <w:vertAlign w:val="superscript"/>
        </w:rPr>
        <w:t>th</w:t>
      </w:r>
      <w:r w:rsidRPr="00C4418D">
        <w:rPr>
          <w:rFonts w:cstheme="minorHAnsi"/>
          <w:sz w:val="24"/>
          <w:szCs w:val="24"/>
        </w:rPr>
        <w:t xml:space="preserve"> September</w:t>
      </w:r>
      <w:r w:rsidR="00D8642F">
        <w:rPr>
          <w:rFonts w:cstheme="minorHAnsi"/>
          <w:sz w:val="24"/>
          <w:szCs w:val="24"/>
        </w:rPr>
        <w:t xml:space="preserve"> of every year and subsequently table this at the County Assembly and then publish and publicize the paper</w:t>
      </w:r>
      <w:r w:rsidRPr="00C4418D">
        <w:rPr>
          <w:rFonts w:cstheme="minorHAnsi"/>
          <w:sz w:val="24"/>
          <w:szCs w:val="24"/>
        </w:rPr>
        <w:t>.</w:t>
      </w:r>
    </w:p>
    <w:p w:rsidR="00FA19CA" w:rsidRPr="00C4418D" w:rsidRDefault="00FA19CA" w:rsidP="007951B5">
      <w:pPr>
        <w:jc w:val="both"/>
        <w:rPr>
          <w:rFonts w:cstheme="minorHAnsi"/>
          <w:sz w:val="24"/>
          <w:szCs w:val="24"/>
        </w:rPr>
      </w:pPr>
      <w:r w:rsidRPr="00C4418D">
        <w:rPr>
          <w:rFonts w:cstheme="minorHAnsi"/>
          <w:sz w:val="24"/>
          <w:szCs w:val="24"/>
        </w:rPr>
        <w:t>The paper rev</w:t>
      </w:r>
      <w:r w:rsidR="00D3014B">
        <w:rPr>
          <w:rFonts w:cstheme="minorHAnsi"/>
          <w:sz w:val="24"/>
          <w:szCs w:val="24"/>
        </w:rPr>
        <w:t>iews fiscal performance of the C</w:t>
      </w:r>
      <w:r w:rsidR="005A69FB">
        <w:rPr>
          <w:rFonts w:cstheme="minorHAnsi"/>
          <w:sz w:val="24"/>
          <w:szCs w:val="24"/>
        </w:rPr>
        <w:t>ounty f</w:t>
      </w:r>
      <w:r w:rsidR="00962989">
        <w:rPr>
          <w:rFonts w:cstheme="minorHAnsi"/>
          <w:sz w:val="24"/>
          <w:szCs w:val="24"/>
        </w:rPr>
        <w:t>or the 2021/22</w:t>
      </w:r>
      <w:r w:rsidRPr="00C4418D">
        <w:rPr>
          <w:rFonts w:cstheme="minorHAnsi"/>
          <w:sz w:val="24"/>
          <w:szCs w:val="24"/>
        </w:rPr>
        <w:t xml:space="preserve"> financial year</w:t>
      </w:r>
      <w:r w:rsidR="00D3014B">
        <w:rPr>
          <w:rFonts w:cstheme="minorHAnsi"/>
          <w:sz w:val="24"/>
          <w:szCs w:val="24"/>
        </w:rPr>
        <w:t xml:space="preserve"> with the approved Program Based Budget </w:t>
      </w:r>
      <w:r w:rsidR="005F04BA">
        <w:rPr>
          <w:rFonts w:cstheme="minorHAnsi"/>
          <w:sz w:val="24"/>
          <w:szCs w:val="24"/>
        </w:rPr>
        <w:t>and the projected fiscal perform</w:t>
      </w:r>
      <w:r w:rsidR="00962989">
        <w:rPr>
          <w:rFonts w:cstheme="minorHAnsi"/>
          <w:sz w:val="24"/>
          <w:szCs w:val="24"/>
        </w:rPr>
        <w:t>ance indicated in the CBROP 2021</w:t>
      </w:r>
      <w:r w:rsidR="005F04BA">
        <w:rPr>
          <w:rFonts w:cstheme="minorHAnsi"/>
          <w:sz w:val="24"/>
          <w:szCs w:val="24"/>
        </w:rPr>
        <w:t xml:space="preserve">. The paper also </w:t>
      </w:r>
      <w:r w:rsidRPr="00C4418D">
        <w:rPr>
          <w:rFonts w:cstheme="minorHAnsi"/>
          <w:sz w:val="24"/>
          <w:szCs w:val="24"/>
        </w:rPr>
        <w:t>provides information on changes in</w:t>
      </w:r>
      <w:r w:rsidR="0012413C">
        <w:rPr>
          <w:rFonts w:cstheme="minorHAnsi"/>
          <w:sz w:val="24"/>
          <w:szCs w:val="24"/>
        </w:rPr>
        <w:t xml:space="preserve"> the projections made in the </w:t>
      </w:r>
      <w:r w:rsidRPr="00C4418D">
        <w:rPr>
          <w:rFonts w:cstheme="minorHAnsi"/>
          <w:sz w:val="24"/>
          <w:szCs w:val="24"/>
        </w:rPr>
        <w:t>County F</w:t>
      </w:r>
      <w:r w:rsidR="005A69FB">
        <w:rPr>
          <w:rFonts w:cstheme="minorHAnsi"/>
          <w:sz w:val="24"/>
          <w:szCs w:val="24"/>
        </w:rPr>
        <w:t>iscal Strategy Paper (CFSP) 2022</w:t>
      </w:r>
      <w:r w:rsidR="0012413C">
        <w:rPr>
          <w:rFonts w:cstheme="minorHAnsi"/>
          <w:sz w:val="24"/>
          <w:szCs w:val="24"/>
        </w:rPr>
        <w:t xml:space="preserve">. These changes are also </w:t>
      </w:r>
      <w:r w:rsidR="00D91EA4">
        <w:rPr>
          <w:rFonts w:cstheme="minorHAnsi"/>
          <w:sz w:val="24"/>
          <w:szCs w:val="24"/>
        </w:rPr>
        <w:t>analyzed</w:t>
      </w:r>
      <w:r w:rsidR="0012413C">
        <w:rPr>
          <w:rFonts w:cstheme="minorHAnsi"/>
          <w:sz w:val="24"/>
          <w:szCs w:val="24"/>
        </w:rPr>
        <w:t xml:space="preserve"> against the </w:t>
      </w:r>
      <w:r w:rsidRPr="00C4418D">
        <w:rPr>
          <w:rFonts w:cstheme="minorHAnsi"/>
          <w:sz w:val="24"/>
          <w:szCs w:val="24"/>
        </w:rPr>
        <w:t>actual financial performance for the</w:t>
      </w:r>
      <w:r w:rsidR="00962989">
        <w:rPr>
          <w:rFonts w:cstheme="minorHAnsi"/>
          <w:sz w:val="24"/>
          <w:szCs w:val="24"/>
        </w:rPr>
        <w:t xml:space="preserve"> FY 2021/22</w:t>
      </w:r>
      <w:r w:rsidR="0012413C">
        <w:rPr>
          <w:rFonts w:cstheme="minorHAnsi"/>
          <w:sz w:val="24"/>
          <w:szCs w:val="24"/>
        </w:rPr>
        <w:t xml:space="preserve"> </w:t>
      </w:r>
      <w:r w:rsidR="000415E4">
        <w:rPr>
          <w:rFonts w:cstheme="minorHAnsi"/>
          <w:sz w:val="24"/>
          <w:szCs w:val="24"/>
        </w:rPr>
        <w:t xml:space="preserve">to determine the trend and understand factors that may have hindered compliance with fiscal responsibility requirements and the expected financial management </w:t>
      </w:r>
      <w:r w:rsidR="00BA7A3E">
        <w:rPr>
          <w:rFonts w:cstheme="minorHAnsi"/>
          <w:sz w:val="24"/>
          <w:szCs w:val="24"/>
        </w:rPr>
        <w:t xml:space="preserve">outputs on revenue enhancement, expenditure management and budgetary control. These deviations are explained and used as a basis to refine the projected </w:t>
      </w:r>
      <w:r w:rsidR="00220C82">
        <w:rPr>
          <w:rFonts w:cstheme="minorHAnsi"/>
          <w:sz w:val="24"/>
          <w:szCs w:val="24"/>
        </w:rPr>
        <w:t>fiscal performance for the MT</w:t>
      </w:r>
      <w:r w:rsidR="005A69FB">
        <w:rPr>
          <w:rFonts w:cstheme="minorHAnsi"/>
          <w:sz w:val="24"/>
          <w:szCs w:val="24"/>
        </w:rPr>
        <w:t>EF for FY 2023</w:t>
      </w:r>
      <w:r w:rsidR="00220C82">
        <w:rPr>
          <w:rFonts w:cstheme="minorHAnsi"/>
          <w:sz w:val="24"/>
          <w:szCs w:val="24"/>
        </w:rPr>
        <w:t>/20</w:t>
      </w:r>
      <w:r w:rsidR="005A69FB">
        <w:rPr>
          <w:rFonts w:cstheme="minorHAnsi"/>
          <w:sz w:val="24"/>
          <w:szCs w:val="24"/>
        </w:rPr>
        <w:t>24</w:t>
      </w:r>
      <w:r w:rsidR="00220C82">
        <w:rPr>
          <w:rFonts w:cstheme="minorHAnsi"/>
          <w:sz w:val="24"/>
          <w:szCs w:val="24"/>
        </w:rPr>
        <w:t xml:space="preserve">. </w:t>
      </w:r>
      <w:r w:rsidRPr="00C4418D">
        <w:rPr>
          <w:rFonts w:cstheme="minorHAnsi"/>
          <w:sz w:val="24"/>
          <w:szCs w:val="24"/>
        </w:rPr>
        <w:t xml:space="preserve"> </w:t>
      </w:r>
    </w:p>
    <w:p w:rsidR="007951B5" w:rsidRPr="00C4418D" w:rsidRDefault="00CE027C" w:rsidP="007951B5">
      <w:pPr>
        <w:rPr>
          <w:rFonts w:cstheme="minorHAnsi"/>
          <w:sz w:val="24"/>
          <w:szCs w:val="24"/>
        </w:rPr>
      </w:pPr>
      <w:r w:rsidRPr="00C4418D">
        <w:rPr>
          <w:rFonts w:cstheme="minorHAnsi"/>
          <w:sz w:val="24"/>
          <w:szCs w:val="24"/>
        </w:rPr>
        <w:t xml:space="preserve">The updated economic and financial outlook presented in this paper will set out the </w:t>
      </w:r>
      <w:r w:rsidR="00220C82">
        <w:rPr>
          <w:rFonts w:cstheme="minorHAnsi"/>
          <w:sz w:val="24"/>
          <w:szCs w:val="24"/>
        </w:rPr>
        <w:t>general</w:t>
      </w:r>
      <w:r w:rsidRPr="00C4418D">
        <w:rPr>
          <w:rFonts w:cstheme="minorHAnsi"/>
          <w:sz w:val="24"/>
          <w:szCs w:val="24"/>
        </w:rPr>
        <w:t xml:space="preserve"> fiscal</w:t>
      </w:r>
      <w:r w:rsidR="00220C82">
        <w:rPr>
          <w:rFonts w:cstheme="minorHAnsi"/>
          <w:sz w:val="24"/>
          <w:szCs w:val="24"/>
        </w:rPr>
        <w:t xml:space="preserve"> guidance for the preparation of the budgets for the next financial year and for the medium term. The provisional ceilings are intended to guide the Sector Working Groups </w:t>
      </w:r>
      <w:r w:rsidR="00347711">
        <w:rPr>
          <w:rFonts w:cstheme="minorHAnsi"/>
          <w:sz w:val="24"/>
          <w:szCs w:val="24"/>
        </w:rPr>
        <w:t xml:space="preserve">(SWGs) in the preparation of the budgets. </w:t>
      </w:r>
      <w:r w:rsidRPr="00C4418D">
        <w:rPr>
          <w:rFonts w:cstheme="minorHAnsi"/>
          <w:sz w:val="24"/>
          <w:szCs w:val="24"/>
        </w:rPr>
        <w:t xml:space="preserve"> </w:t>
      </w:r>
    </w:p>
    <w:p w:rsidR="00CE027C" w:rsidRPr="00C4418D" w:rsidRDefault="00B95ADF" w:rsidP="007951B5">
      <w:pPr>
        <w:rPr>
          <w:rFonts w:cstheme="minorHAnsi"/>
          <w:sz w:val="24"/>
          <w:szCs w:val="24"/>
        </w:rPr>
      </w:pPr>
      <w:r>
        <w:rPr>
          <w:rFonts w:cstheme="minorHAnsi"/>
          <w:sz w:val="24"/>
          <w:szCs w:val="24"/>
        </w:rPr>
        <w:t xml:space="preserve">The County Treasury and the relevant departments are and continue to be available to support all Sectors in adopting this paper which </w:t>
      </w:r>
      <w:r w:rsidR="00061CFC">
        <w:rPr>
          <w:rFonts w:cstheme="minorHAnsi"/>
          <w:sz w:val="24"/>
          <w:szCs w:val="24"/>
        </w:rPr>
        <w:t xml:space="preserve">guides our budget development process, enhances fiscal discipline and assigns fiscal responsibilities which enables the County comply with </w:t>
      </w:r>
      <w:r w:rsidR="00CE027C" w:rsidRPr="00C4418D">
        <w:rPr>
          <w:rFonts w:cstheme="minorHAnsi"/>
          <w:sz w:val="24"/>
          <w:szCs w:val="24"/>
        </w:rPr>
        <w:t>section 107 of the PFM Act 2012</w:t>
      </w:r>
      <w:r w:rsidR="005A2AA3">
        <w:rPr>
          <w:rFonts w:cstheme="minorHAnsi"/>
          <w:sz w:val="24"/>
          <w:szCs w:val="24"/>
        </w:rPr>
        <w:t xml:space="preserve">. </w:t>
      </w:r>
      <w:r w:rsidR="00CE027C" w:rsidRPr="00C4418D">
        <w:rPr>
          <w:rFonts w:cstheme="minorHAnsi"/>
          <w:sz w:val="24"/>
          <w:szCs w:val="24"/>
        </w:rPr>
        <w:t xml:space="preserve"> </w:t>
      </w:r>
    </w:p>
    <w:p w:rsidR="007951B5" w:rsidRPr="00C4418D" w:rsidRDefault="007951B5" w:rsidP="007951B5">
      <w:pPr>
        <w:rPr>
          <w:rFonts w:cstheme="minorHAnsi"/>
          <w:sz w:val="24"/>
          <w:szCs w:val="24"/>
        </w:rPr>
      </w:pPr>
    </w:p>
    <w:p w:rsidR="00CE027C" w:rsidRDefault="00CE027C" w:rsidP="007951B5">
      <w:pPr>
        <w:rPr>
          <w:rFonts w:cstheme="minorHAnsi"/>
          <w:sz w:val="24"/>
          <w:szCs w:val="24"/>
        </w:rPr>
      </w:pPr>
    </w:p>
    <w:p w:rsidR="0097516D" w:rsidRPr="00C4418D" w:rsidRDefault="0097516D" w:rsidP="007951B5">
      <w:pPr>
        <w:rPr>
          <w:rFonts w:cstheme="minorHAnsi"/>
          <w:sz w:val="24"/>
          <w:szCs w:val="24"/>
        </w:rPr>
      </w:pPr>
    </w:p>
    <w:p w:rsidR="00CE027C" w:rsidRPr="00C4418D" w:rsidRDefault="00CE027C" w:rsidP="007951B5">
      <w:pPr>
        <w:rPr>
          <w:rFonts w:cstheme="minorHAnsi"/>
          <w:sz w:val="24"/>
          <w:szCs w:val="24"/>
        </w:rPr>
      </w:pPr>
    </w:p>
    <w:p w:rsidR="005A69FB" w:rsidRPr="005A69FB" w:rsidRDefault="005A69FB" w:rsidP="005A69FB">
      <w:pPr>
        <w:spacing w:after="0" w:line="240" w:lineRule="auto"/>
        <w:rPr>
          <w:rFonts w:cstheme="minorHAnsi"/>
          <w:b/>
          <w:sz w:val="24"/>
          <w:szCs w:val="24"/>
        </w:rPr>
      </w:pPr>
      <w:r w:rsidRPr="005A69FB">
        <w:rPr>
          <w:rFonts w:cstheme="minorHAnsi"/>
          <w:b/>
          <w:sz w:val="24"/>
          <w:szCs w:val="24"/>
        </w:rPr>
        <w:t xml:space="preserve">Mr. </w:t>
      </w:r>
      <w:proofErr w:type="spellStart"/>
      <w:r w:rsidRPr="005A69FB">
        <w:rPr>
          <w:rFonts w:cstheme="minorHAnsi"/>
          <w:b/>
          <w:sz w:val="24"/>
          <w:szCs w:val="24"/>
        </w:rPr>
        <w:t>Malicha</w:t>
      </w:r>
      <w:proofErr w:type="spellEnd"/>
      <w:r w:rsidRPr="005A69FB">
        <w:rPr>
          <w:rFonts w:cstheme="minorHAnsi"/>
          <w:b/>
          <w:sz w:val="24"/>
          <w:szCs w:val="24"/>
        </w:rPr>
        <w:t xml:space="preserve"> </w:t>
      </w:r>
      <w:proofErr w:type="spellStart"/>
      <w:r w:rsidRPr="005A69FB">
        <w:rPr>
          <w:rFonts w:cstheme="minorHAnsi"/>
          <w:b/>
          <w:sz w:val="24"/>
          <w:szCs w:val="24"/>
        </w:rPr>
        <w:t>Wario</w:t>
      </w:r>
      <w:proofErr w:type="spellEnd"/>
    </w:p>
    <w:p w:rsidR="005A69FB" w:rsidRPr="005A69FB" w:rsidRDefault="005A69FB" w:rsidP="005A69FB">
      <w:pPr>
        <w:spacing w:after="0" w:line="240" w:lineRule="auto"/>
        <w:jc w:val="both"/>
        <w:rPr>
          <w:rFonts w:cstheme="minorHAnsi"/>
          <w:sz w:val="24"/>
          <w:szCs w:val="24"/>
        </w:rPr>
      </w:pPr>
      <w:r w:rsidRPr="005A69FB">
        <w:rPr>
          <w:rFonts w:cstheme="minorHAnsi"/>
          <w:sz w:val="24"/>
          <w:szCs w:val="24"/>
        </w:rPr>
        <w:t>County Executive Committee Member</w:t>
      </w:r>
    </w:p>
    <w:p w:rsidR="00F67F5F" w:rsidRPr="005A69FB" w:rsidRDefault="005A69FB" w:rsidP="005A69FB">
      <w:pPr>
        <w:spacing w:after="0" w:line="240" w:lineRule="auto"/>
        <w:rPr>
          <w:rFonts w:cstheme="minorHAnsi"/>
          <w:color w:val="00B0F0"/>
          <w:sz w:val="24"/>
          <w:szCs w:val="24"/>
        </w:rPr>
        <w:sectPr w:rsidR="00F67F5F" w:rsidRPr="005A69FB" w:rsidSect="00B9180F">
          <w:headerReference w:type="default" r:id="rId15"/>
          <w:footerReference w:type="first" r:id="rId16"/>
          <w:pgSz w:w="11907" w:h="16839" w:code="9"/>
          <w:pgMar w:top="1440" w:right="927" w:bottom="1440" w:left="990" w:header="720" w:footer="720" w:gutter="0"/>
          <w:pgNumType w:fmt="lowerRoman" w:start="1"/>
          <w:cols w:space="720"/>
          <w:docGrid w:linePitch="360"/>
        </w:sectPr>
      </w:pPr>
      <w:r w:rsidRPr="005A69FB">
        <w:rPr>
          <w:rFonts w:cstheme="minorHAnsi"/>
          <w:sz w:val="24"/>
          <w:szCs w:val="24"/>
        </w:rPr>
        <w:t>Department of Finance and Economic Planning</w:t>
      </w:r>
    </w:p>
    <w:p w:rsidR="00F67F5F" w:rsidRPr="00223805" w:rsidRDefault="00F67F5F" w:rsidP="00223805">
      <w:pPr>
        <w:pStyle w:val="Heading1"/>
        <w:spacing w:after="240"/>
        <w:rPr>
          <w:color w:val="auto"/>
        </w:rPr>
      </w:pPr>
      <w:bookmarkStart w:id="1" w:name="_Toc525549602"/>
      <w:r w:rsidRPr="00223805">
        <w:rPr>
          <w:color w:val="auto"/>
        </w:rPr>
        <w:lastRenderedPageBreak/>
        <w:t>Acknowledgement</w:t>
      </w:r>
      <w:bookmarkEnd w:id="1"/>
    </w:p>
    <w:p w:rsidR="006113D6" w:rsidRPr="003676A4" w:rsidRDefault="006113D6" w:rsidP="00F67F5F">
      <w:pPr>
        <w:rPr>
          <w:rFonts w:cstheme="minorHAnsi"/>
          <w:sz w:val="24"/>
          <w:szCs w:val="24"/>
        </w:rPr>
      </w:pPr>
      <w:r w:rsidRPr="003676A4">
        <w:rPr>
          <w:rFonts w:cstheme="minorHAnsi"/>
          <w:sz w:val="24"/>
          <w:szCs w:val="24"/>
        </w:rPr>
        <w:t>This County Budget Review and Outlook Paper (CBROP) has been prepared in accordance with the Public Finance Management (</w:t>
      </w:r>
      <w:r w:rsidR="005B463D" w:rsidRPr="003676A4">
        <w:rPr>
          <w:rFonts w:cstheme="minorHAnsi"/>
          <w:sz w:val="24"/>
          <w:szCs w:val="24"/>
        </w:rPr>
        <w:t>PFM) Act, 2012</w:t>
      </w:r>
      <w:r w:rsidRPr="003676A4">
        <w:rPr>
          <w:rFonts w:cstheme="minorHAnsi"/>
          <w:sz w:val="24"/>
          <w:szCs w:val="24"/>
        </w:rPr>
        <w:t xml:space="preserve">. </w:t>
      </w:r>
      <w:r w:rsidR="005B463D" w:rsidRPr="003676A4">
        <w:rPr>
          <w:rFonts w:cstheme="minorHAnsi"/>
          <w:sz w:val="24"/>
          <w:szCs w:val="24"/>
        </w:rPr>
        <w:t xml:space="preserve"> The CBROP </w:t>
      </w:r>
      <w:r w:rsidRPr="003676A4">
        <w:rPr>
          <w:rFonts w:cstheme="minorHAnsi"/>
          <w:sz w:val="24"/>
          <w:szCs w:val="24"/>
        </w:rPr>
        <w:t xml:space="preserve">It provides a review of the recent economic developments </w:t>
      </w:r>
      <w:r w:rsidR="004B691A" w:rsidRPr="003676A4">
        <w:rPr>
          <w:rFonts w:cstheme="minorHAnsi"/>
          <w:sz w:val="24"/>
          <w:szCs w:val="24"/>
        </w:rPr>
        <w:t>and actua</w:t>
      </w:r>
      <w:r w:rsidR="00962989">
        <w:rPr>
          <w:rFonts w:cstheme="minorHAnsi"/>
          <w:sz w:val="24"/>
          <w:szCs w:val="24"/>
        </w:rPr>
        <w:t>l fiscal performance for FY 2021/2022</w:t>
      </w:r>
      <w:r w:rsidR="004B691A" w:rsidRPr="003676A4">
        <w:rPr>
          <w:rFonts w:cstheme="minorHAnsi"/>
          <w:sz w:val="24"/>
          <w:szCs w:val="24"/>
        </w:rPr>
        <w:t xml:space="preserve"> compared to the approved </w:t>
      </w:r>
      <w:proofErr w:type="spellStart"/>
      <w:r w:rsidR="004B691A" w:rsidRPr="003676A4">
        <w:rPr>
          <w:rFonts w:cstheme="minorHAnsi"/>
          <w:sz w:val="24"/>
          <w:szCs w:val="24"/>
        </w:rPr>
        <w:t>Programme</w:t>
      </w:r>
      <w:proofErr w:type="spellEnd"/>
      <w:r w:rsidR="004B691A" w:rsidRPr="003676A4">
        <w:rPr>
          <w:rFonts w:cstheme="minorHAnsi"/>
          <w:sz w:val="24"/>
          <w:szCs w:val="24"/>
        </w:rPr>
        <w:t xml:space="preserve"> Based Budgets. The paper </w:t>
      </w:r>
      <w:r w:rsidR="0069635F" w:rsidRPr="003676A4">
        <w:rPr>
          <w:rFonts w:cstheme="minorHAnsi"/>
          <w:sz w:val="24"/>
          <w:szCs w:val="24"/>
        </w:rPr>
        <w:t>reviews</w:t>
      </w:r>
      <w:r w:rsidR="00152C8F" w:rsidRPr="003676A4">
        <w:rPr>
          <w:rFonts w:cstheme="minorHAnsi"/>
          <w:sz w:val="24"/>
          <w:szCs w:val="24"/>
        </w:rPr>
        <w:t xml:space="preserve"> the revenue and expenditure perfor</w:t>
      </w:r>
      <w:r w:rsidR="00962989">
        <w:rPr>
          <w:rFonts w:cstheme="minorHAnsi"/>
          <w:sz w:val="24"/>
          <w:szCs w:val="24"/>
        </w:rPr>
        <w:t>mance for FY 2021/22</w:t>
      </w:r>
      <w:r w:rsidR="00152C8F" w:rsidRPr="003676A4">
        <w:rPr>
          <w:rFonts w:cstheme="minorHAnsi"/>
          <w:sz w:val="24"/>
          <w:szCs w:val="24"/>
        </w:rPr>
        <w:t xml:space="preserve"> and</w:t>
      </w:r>
      <w:r w:rsidR="00613FDE" w:rsidRPr="003676A4">
        <w:rPr>
          <w:rFonts w:cstheme="minorHAnsi"/>
          <w:sz w:val="24"/>
          <w:szCs w:val="24"/>
        </w:rPr>
        <w:t xml:space="preserve"> assesses deviations from the</w:t>
      </w:r>
      <w:r w:rsidR="003F2F5B" w:rsidRPr="003676A4">
        <w:rPr>
          <w:rFonts w:cstheme="minorHAnsi"/>
          <w:sz w:val="24"/>
          <w:szCs w:val="24"/>
        </w:rPr>
        <w:t xml:space="preserve"> County Fiscal Strategy Paper (CFSP) </w:t>
      </w:r>
      <w:r w:rsidR="00962989">
        <w:rPr>
          <w:rFonts w:cstheme="minorHAnsi"/>
          <w:sz w:val="24"/>
          <w:szCs w:val="24"/>
        </w:rPr>
        <w:t>2021</w:t>
      </w:r>
      <w:r w:rsidR="00463818" w:rsidRPr="003676A4">
        <w:rPr>
          <w:rFonts w:cstheme="minorHAnsi"/>
          <w:sz w:val="24"/>
          <w:szCs w:val="24"/>
        </w:rPr>
        <w:t xml:space="preserve"> and</w:t>
      </w:r>
      <w:r w:rsidR="00152C8F" w:rsidRPr="003676A4">
        <w:rPr>
          <w:rFonts w:cstheme="minorHAnsi"/>
          <w:sz w:val="24"/>
          <w:szCs w:val="24"/>
        </w:rPr>
        <w:t xml:space="preserve"> uses this to form provisional ceilings for the ne</w:t>
      </w:r>
      <w:r w:rsidR="003676A4" w:rsidRPr="003676A4">
        <w:rPr>
          <w:rFonts w:cstheme="minorHAnsi"/>
          <w:sz w:val="24"/>
          <w:szCs w:val="24"/>
        </w:rPr>
        <w:t>xt MTEF period beginning FY 2023/24</w:t>
      </w:r>
      <w:r w:rsidR="00152C8F" w:rsidRPr="003676A4">
        <w:rPr>
          <w:rFonts w:cstheme="minorHAnsi"/>
          <w:sz w:val="24"/>
          <w:szCs w:val="24"/>
        </w:rPr>
        <w:t xml:space="preserve">. </w:t>
      </w:r>
      <w:r w:rsidR="003676A4" w:rsidRPr="003676A4">
        <w:rPr>
          <w:rFonts w:cstheme="minorHAnsi"/>
          <w:sz w:val="24"/>
          <w:szCs w:val="24"/>
        </w:rPr>
        <w:t>Finally,</w:t>
      </w:r>
      <w:r w:rsidR="003F2F5B" w:rsidRPr="003676A4">
        <w:rPr>
          <w:rFonts w:cstheme="minorHAnsi"/>
          <w:sz w:val="24"/>
          <w:szCs w:val="24"/>
        </w:rPr>
        <w:t xml:space="preserve"> the paper ensures that going forward the County complies </w:t>
      </w:r>
      <w:r w:rsidRPr="003676A4">
        <w:rPr>
          <w:rFonts w:cstheme="minorHAnsi"/>
          <w:sz w:val="24"/>
          <w:szCs w:val="24"/>
        </w:rPr>
        <w:t>with the principles of fiscal responsibility and the financial objectives as provided for in</w:t>
      </w:r>
      <w:r w:rsidR="00921510" w:rsidRPr="003676A4">
        <w:rPr>
          <w:rFonts w:cstheme="minorHAnsi"/>
          <w:sz w:val="24"/>
          <w:szCs w:val="24"/>
        </w:rPr>
        <w:t xml:space="preserve"> the PFM Act 2012 section (118).</w:t>
      </w:r>
    </w:p>
    <w:p w:rsidR="003676A4" w:rsidRPr="003676A4" w:rsidRDefault="003676A4" w:rsidP="003676A4">
      <w:pPr>
        <w:rPr>
          <w:rFonts w:cstheme="minorHAnsi"/>
          <w:sz w:val="24"/>
          <w:szCs w:val="24"/>
        </w:rPr>
      </w:pPr>
      <w:r w:rsidRPr="003676A4">
        <w:rPr>
          <w:rFonts w:cstheme="minorHAnsi"/>
          <w:sz w:val="24"/>
          <w:szCs w:val="24"/>
        </w:rPr>
        <w:t xml:space="preserve">It is with great pleasure that the Department of Finance and Economic Planning has to appreciate all those persons who put their efforts in the preparation of this CBROP 2022 which was a consultative and inclusive process. Much of the information in this policy document was obtained through the CFSP 2022, CBROP 2021 and Annual Reports. We are grateful to the </w:t>
      </w:r>
      <w:proofErr w:type="spellStart"/>
      <w:r w:rsidRPr="003676A4">
        <w:rPr>
          <w:rFonts w:cstheme="minorHAnsi"/>
          <w:sz w:val="24"/>
          <w:szCs w:val="24"/>
        </w:rPr>
        <w:t>Marsabit</w:t>
      </w:r>
      <w:proofErr w:type="spellEnd"/>
      <w:r w:rsidRPr="003676A4">
        <w:rPr>
          <w:rFonts w:cstheme="minorHAnsi"/>
          <w:sz w:val="24"/>
          <w:szCs w:val="24"/>
        </w:rPr>
        <w:t xml:space="preserve"> County Government Executive represented by all the Departments with public officers from the leadership and technical teams that took time to analyze all information and prepare this document. The insights and engagements has resulted in a policy document that will guide our Sector Working Groups and the entire budget preparation process.</w:t>
      </w:r>
    </w:p>
    <w:p w:rsidR="003676A4" w:rsidRPr="003676A4" w:rsidRDefault="003676A4" w:rsidP="003676A4">
      <w:pPr>
        <w:pStyle w:val="Default"/>
        <w:spacing w:line="28" w:lineRule="atLeast"/>
        <w:contextualSpacing/>
        <w:jc w:val="both"/>
        <w:rPr>
          <w:rFonts w:ascii="Gill Sans MT" w:hAnsi="Gill Sans MT" w:cstheme="minorHAnsi"/>
        </w:rPr>
      </w:pPr>
      <w:r w:rsidRPr="003676A4">
        <w:rPr>
          <w:rFonts w:ascii="Gill Sans MT" w:hAnsi="Gill Sans MT" w:cstheme="minorHAnsi"/>
        </w:rPr>
        <w:t xml:space="preserve"> </w:t>
      </w:r>
    </w:p>
    <w:p w:rsidR="003676A4" w:rsidRPr="003676A4" w:rsidRDefault="003676A4" w:rsidP="003676A4">
      <w:pPr>
        <w:rPr>
          <w:rFonts w:cstheme="minorHAnsi"/>
          <w:sz w:val="24"/>
          <w:szCs w:val="24"/>
        </w:rPr>
      </w:pPr>
      <w:r w:rsidRPr="003676A4">
        <w:rPr>
          <w:rFonts w:cstheme="minorHAnsi"/>
          <w:sz w:val="24"/>
          <w:szCs w:val="24"/>
        </w:rPr>
        <w:t xml:space="preserve">Much appreciation to the Chief Officer Finance </w:t>
      </w:r>
      <w:proofErr w:type="spellStart"/>
      <w:r w:rsidRPr="003676A4">
        <w:rPr>
          <w:rFonts w:cstheme="minorHAnsi"/>
          <w:sz w:val="24"/>
          <w:szCs w:val="24"/>
        </w:rPr>
        <w:t>Mr</w:t>
      </w:r>
      <w:proofErr w:type="spellEnd"/>
      <w:r w:rsidRPr="003676A4">
        <w:rPr>
          <w:rFonts w:cstheme="minorHAnsi"/>
          <w:sz w:val="24"/>
          <w:szCs w:val="24"/>
        </w:rPr>
        <w:t xml:space="preserve"> </w:t>
      </w:r>
      <w:proofErr w:type="spellStart"/>
      <w:r w:rsidRPr="003676A4">
        <w:rPr>
          <w:rFonts w:cstheme="minorHAnsi"/>
          <w:sz w:val="24"/>
          <w:szCs w:val="24"/>
        </w:rPr>
        <w:t>Wario</w:t>
      </w:r>
      <w:proofErr w:type="spellEnd"/>
      <w:r w:rsidRPr="003676A4">
        <w:rPr>
          <w:rFonts w:cstheme="minorHAnsi"/>
          <w:sz w:val="24"/>
          <w:szCs w:val="24"/>
        </w:rPr>
        <w:t xml:space="preserve"> J. </w:t>
      </w:r>
      <w:proofErr w:type="spellStart"/>
      <w:r w:rsidRPr="003676A4">
        <w:rPr>
          <w:rFonts w:cstheme="minorHAnsi"/>
          <w:sz w:val="24"/>
          <w:szCs w:val="24"/>
        </w:rPr>
        <w:t>Harsama</w:t>
      </w:r>
      <w:proofErr w:type="spellEnd"/>
      <w:r w:rsidRPr="003676A4">
        <w:rPr>
          <w:rFonts w:cstheme="minorHAnsi"/>
          <w:sz w:val="24"/>
          <w:szCs w:val="24"/>
        </w:rPr>
        <w:t xml:space="preserve"> and the teams at the County government that participated in the entire CBROP 2022 preparation process.  We also appreciate the Directorate of Economic Planning, the Directorate of Accounting and Directorate of Audit for providing leadership on the preparation of this key document. I also extend special appreciation to the team of technical officers in the Department of Finance and Economic Planning for their dedication and commitment to this process.</w:t>
      </w:r>
    </w:p>
    <w:p w:rsidR="003676A4" w:rsidRPr="003676A4" w:rsidRDefault="003676A4" w:rsidP="003676A4">
      <w:pPr>
        <w:pStyle w:val="Default"/>
        <w:spacing w:line="28" w:lineRule="atLeast"/>
        <w:contextualSpacing/>
        <w:jc w:val="both"/>
        <w:rPr>
          <w:rFonts w:ascii="Gill Sans MT" w:hAnsi="Gill Sans MT" w:cstheme="minorHAnsi"/>
        </w:rPr>
      </w:pPr>
    </w:p>
    <w:p w:rsidR="003676A4" w:rsidRPr="003676A4" w:rsidRDefault="003676A4" w:rsidP="003676A4">
      <w:pPr>
        <w:spacing w:line="28" w:lineRule="atLeast"/>
        <w:jc w:val="both"/>
        <w:rPr>
          <w:rFonts w:cstheme="minorHAnsi"/>
          <w:sz w:val="24"/>
          <w:szCs w:val="24"/>
        </w:rPr>
      </w:pPr>
      <w:r w:rsidRPr="003676A4">
        <w:rPr>
          <w:rFonts w:cstheme="minorHAnsi"/>
          <w:sz w:val="24"/>
          <w:szCs w:val="24"/>
        </w:rPr>
        <w:t xml:space="preserve">To all that were involved, receive my heartfelt appreciation. </w:t>
      </w:r>
    </w:p>
    <w:p w:rsidR="003676A4" w:rsidRDefault="003676A4" w:rsidP="003676A4">
      <w:pPr>
        <w:spacing w:line="28" w:lineRule="atLeast"/>
        <w:jc w:val="both"/>
        <w:rPr>
          <w:rFonts w:cstheme="minorHAnsi"/>
          <w:szCs w:val="24"/>
        </w:rPr>
      </w:pPr>
    </w:p>
    <w:p w:rsidR="003676A4" w:rsidRDefault="003676A4" w:rsidP="003676A4">
      <w:pPr>
        <w:spacing w:line="28" w:lineRule="atLeast"/>
        <w:jc w:val="both"/>
        <w:rPr>
          <w:rFonts w:cstheme="minorHAnsi"/>
          <w:szCs w:val="24"/>
        </w:rPr>
      </w:pPr>
    </w:p>
    <w:p w:rsidR="003676A4" w:rsidRDefault="003676A4" w:rsidP="003676A4">
      <w:pPr>
        <w:spacing w:line="28" w:lineRule="atLeast"/>
        <w:jc w:val="both"/>
        <w:rPr>
          <w:rFonts w:cstheme="minorHAnsi"/>
          <w:szCs w:val="24"/>
        </w:rPr>
      </w:pPr>
    </w:p>
    <w:p w:rsidR="003676A4" w:rsidRPr="004E5AA9" w:rsidRDefault="003676A4" w:rsidP="003676A4">
      <w:pPr>
        <w:spacing w:line="28" w:lineRule="atLeast"/>
        <w:jc w:val="both"/>
        <w:rPr>
          <w:rFonts w:cstheme="minorHAnsi"/>
          <w:szCs w:val="24"/>
        </w:rPr>
      </w:pPr>
    </w:p>
    <w:p w:rsidR="003676A4" w:rsidRPr="004E5AA9" w:rsidRDefault="003676A4" w:rsidP="003676A4">
      <w:pPr>
        <w:pStyle w:val="Default"/>
        <w:spacing w:line="28" w:lineRule="atLeast"/>
        <w:contextualSpacing/>
        <w:jc w:val="both"/>
        <w:rPr>
          <w:rFonts w:ascii="Gill Sans MT" w:hAnsi="Gill Sans MT" w:cstheme="minorHAnsi"/>
          <w:b/>
        </w:rPr>
      </w:pPr>
      <w:proofErr w:type="spellStart"/>
      <w:r w:rsidRPr="004E5AA9">
        <w:rPr>
          <w:rFonts w:ascii="Gill Sans MT" w:hAnsi="Gill Sans MT" w:cstheme="minorHAnsi"/>
          <w:b/>
        </w:rPr>
        <w:t>Eng</w:t>
      </w:r>
      <w:proofErr w:type="spellEnd"/>
      <w:r w:rsidRPr="004E5AA9">
        <w:rPr>
          <w:rFonts w:ascii="Gill Sans MT" w:hAnsi="Gill Sans MT" w:cstheme="minorHAnsi"/>
          <w:b/>
        </w:rPr>
        <w:t xml:space="preserve"> Mohammed </w:t>
      </w:r>
      <w:proofErr w:type="spellStart"/>
      <w:r w:rsidRPr="004E5AA9">
        <w:rPr>
          <w:rFonts w:ascii="Gill Sans MT" w:hAnsi="Gill Sans MT" w:cstheme="minorHAnsi"/>
          <w:b/>
        </w:rPr>
        <w:t>Tache</w:t>
      </w:r>
      <w:proofErr w:type="spellEnd"/>
    </w:p>
    <w:p w:rsidR="003676A4" w:rsidRPr="004E5AA9" w:rsidRDefault="003676A4" w:rsidP="003676A4">
      <w:pPr>
        <w:pStyle w:val="Default"/>
        <w:spacing w:line="28" w:lineRule="atLeast"/>
        <w:contextualSpacing/>
        <w:jc w:val="both"/>
        <w:rPr>
          <w:rFonts w:ascii="Gill Sans MT" w:hAnsi="Gill Sans MT" w:cstheme="minorHAnsi"/>
        </w:rPr>
      </w:pPr>
      <w:r w:rsidRPr="004E5AA9">
        <w:rPr>
          <w:rFonts w:ascii="Gill Sans MT" w:hAnsi="Gill Sans MT" w:cstheme="minorHAnsi"/>
        </w:rPr>
        <w:t>Chief Officer, Economic planning</w:t>
      </w:r>
    </w:p>
    <w:p w:rsidR="00F67F5F" w:rsidRPr="003676A4" w:rsidRDefault="003676A4" w:rsidP="003676A4">
      <w:pPr>
        <w:rPr>
          <w:rFonts w:cstheme="minorHAnsi"/>
          <w:color w:val="00B0F0"/>
          <w:szCs w:val="24"/>
        </w:rPr>
      </w:pPr>
      <w:proofErr w:type="spellStart"/>
      <w:r w:rsidRPr="004E5AA9">
        <w:rPr>
          <w:rFonts w:cstheme="minorHAnsi"/>
          <w:color w:val="000000"/>
          <w:szCs w:val="24"/>
        </w:rPr>
        <w:t>Marsabit</w:t>
      </w:r>
      <w:proofErr w:type="spellEnd"/>
      <w:r w:rsidRPr="004E5AA9">
        <w:rPr>
          <w:rFonts w:cstheme="minorHAnsi"/>
          <w:color w:val="000000"/>
          <w:szCs w:val="24"/>
        </w:rPr>
        <w:t xml:space="preserve"> County Government</w:t>
      </w:r>
      <w:r w:rsidRPr="004E5AA9">
        <w:rPr>
          <w:rFonts w:cstheme="minorHAnsi"/>
          <w:color w:val="00B0F0"/>
          <w:szCs w:val="24"/>
        </w:rPr>
        <w:br w:type="page"/>
      </w:r>
    </w:p>
    <w:p w:rsidR="0096562F" w:rsidRPr="00223805" w:rsidRDefault="0096562F" w:rsidP="00223805">
      <w:pPr>
        <w:pStyle w:val="Heading1"/>
        <w:spacing w:after="240"/>
        <w:rPr>
          <w:color w:val="auto"/>
        </w:rPr>
      </w:pPr>
      <w:bookmarkStart w:id="2" w:name="_Toc525549603"/>
      <w:r w:rsidRPr="00223805">
        <w:rPr>
          <w:color w:val="auto"/>
        </w:rPr>
        <w:lastRenderedPageBreak/>
        <w:t>ABBREVIATIONS AND ACRONYMS</w:t>
      </w:r>
      <w:bookmarkEnd w:id="2"/>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5400"/>
      </w:tblGrid>
      <w:tr w:rsidR="008B4842" w:rsidRPr="00C4418D" w:rsidTr="000B4734">
        <w:trPr>
          <w:trHeight w:val="576"/>
        </w:trPr>
        <w:tc>
          <w:tcPr>
            <w:tcW w:w="1530" w:type="dxa"/>
          </w:tcPr>
          <w:p w:rsidR="008B4842" w:rsidRPr="00C4418D" w:rsidRDefault="008B4842" w:rsidP="00920ED7">
            <w:pPr>
              <w:rPr>
                <w:rFonts w:cstheme="minorHAnsi"/>
                <w:sz w:val="24"/>
                <w:szCs w:val="24"/>
              </w:rPr>
            </w:pPr>
            <w:r w:rsidRPr="00C4418D">
              <w:rPr>
                <w:rFonts w:cstheme="minorHAnsi"/>
                <w:sz w:val="24"/>
                <w:szCs w:val="24"/>
              </w:rPr>
              <w:t>CBK</w:t>
            </w:r>
          </w:p>
        </w:tc>
        <w:tc>
          <w:tcPr>
            <w:tcW w:w="5400" w:type="dxa"/>
          </w:tcPr>
          <w:p w:rsidR="008B4842" w:rsidRPr="00C4418D" w:rsidRDefault="008B4842" w:rsidP="00920ED7">
            <w:pPr>
              <w:rPr>
                <w:rFonts w:cstheme="minorHAnsi"/>
                <w:sz w:val="24"/>
                <w:szCs w:val="24"/>
              </w:rPr>
            </w:pPr>
            <w:r w:rsidRPr="00C4418D">
              <w:rPr>
                <w:rFonts w:cstheme="minorHAnsi"/>
                <w:sz w:val="24"/>
                <w:szCs w:val="24"/>
              </w:rPr>
              <w:t>Central Bank of Kenya</w:t>
            </w:r>
          </w:p>
        </w:tc>
      </w:tr>
      <w:tr w:rsidR="00EB27FD" w:rsidRPr="00C4418D" w:rsidTr="000B4734">
        <w:trPr>
          <w:trHeight w:val="576"/>
        </w:trPr>
        <w:tc>
          <w:tcPr>
            <w:tcW w:w="1530" w:type="dxa"/>
          </w:tcPr>
          <w:p w:rsidR="00EB27FD" w:rsidRPr="00C4418D" w:rsidRDefault="00EB27FD" w:rsidP="00920ED7">
            <w:pPr>
              <w:rPr>
                <w:rFonts w:cstheme="minorHAnsi"/>
                <w:sz w:val="24"/>
                <w:szCs w:val="24"/>
              </w:rPr>
            </w:pPr>
            <w:r w:rsidRPr="00C4418D">
              <w:rPr>
                <w:rFonts w:cstheme="minorHAnsi"/>
                <w:sz w:val="24"/>
                <w:szCs w:val="24"/>
              </w:rPr>
              <w:t>CRA</w:t>
            </w:r>
          </w:p>
        </w:tc>
        <w:tc>
          <w:tcPr>
            <w:tcW w:w="5400" w:type="dxa"/>
          </w:tcPr>
          <w:p w:rsidR="00EB27FD" w:rsidRPr="00C4418D" w:rsidRDefault="00DA2BA7" w:rsidP="00920ED7">
            <w:pPr>
              <w:rPr>
                <w:rFonts w:cstheme="minorHAnsi"/>
                <w:sz w:val="24"/>
                <w:szCs w:val="24"/>
              </w:rPr>
            </w:pPr>
            <w:r w:rsidRPr="00C4418D">
              <w:rPr>
                <w:rFonts w:cstheme="minorHAnsi"/>
                <w:sz w:val="24"/>
                <w:szCs w:val="24"/>
              </w:rPr>
              <w:t>Commission of Revenue Allocation</w:t>
            </w:r>
          </w:p>
        </w:tc>
      </w:tr>
      <w:tr w:rsidR="00EB27FD" w:rsidRPr="00C4418D" w:rsidTr="000B4734">
        <w:trPr>
          <w:trHeight w:val="576"/>
        </w:trPr>
        <w:tc>
          <w:tcPr>
            <w:tcW w:w="1530" w:type="dxa"/>
          </w:tcPr>
          <w:p w:rsidR="00EB27FD" w:rsidRPr="00C4418D" w:rsidRDefault="00EB27FD" w:rsidP="00920ED7">
            <w:pPr>
              <w:rPr>
                <w:rFonts w:cstheme="minorHAnsi"/>
                <w:sz w:val="24"/>
                <w:szCs w:val="24"/>
              </w:rPr>
            </w:pPr>
            <w:r w:rsidRPr="00C4418D">
              <w:rPr>
                <w:rFonts w:cstheme="minorHAnsi"/>
                <w:sz w:val="24"/>
                <w:szCs w:val="24"/>
              </w:rPr>
              <w:t>CBROP</w:t>
            </w:r>
          </w:p>
        </w:tc>
        <w:tc>
          <w:tcPr>
            <w:tcW w:w="5400" w:type="dxa"/>
          </w:tcPr>
          <w:p w:rsidR="00EB27FD" w:rsidRPr="00C4418D" w:rsidRDefault="00DA2BA7" w:rsidP="00920ED7">
            <w:pPr>
              <w:rPr>
                <w:rFonts w:cstheme="minorHAnsi"/>
                <w:sz w:val="24"/>
                <w:szCs w:val="24"/>
              </w:rPr>
            </w:pPr>
            <w:r w:rsidRPr="00C4418D">
              <w:rPr>
                <w:rFonts w:cstheme="minorHAnsi"/>
                <w:sz w:val="24"/>
                <w:szCs w:val="24"/>
              </w:rPr>
              <w:t>County Budget Review and Outlook Paper</w:t>
            </w:r>
          </w:p>
        </w:tc>
      </w:tr>
      <w:tr w:rsidR="00EB27FD" w:rsidRPr="00C4418D" w:rsidTr="000B4734">
        <w:trPr>
          <w:trHeight w:val="576"/>
        </w:trPr>
        <w:tc>
          <w:tcPr>
            <w:tcW w:w="1530" w:type="dxa"/>
          </w:tcPr>
          <w:p w:rsidR="00EB27FD" w:rsidRPr="00C4418D" w:rsidRDefault="00EB27FD" w:rsidP="00920ED7">
            <w:pPr>
              <w:rPr>
                <w:rFonts w:cstheme="minorHAnsi"/>
                <w:sz w:val="24"/>
                <w:szCs w:val="24"/>
              </w:rPr>
            </w:pPr>
            <w:r w:rsidRPr="00C4418D">
              <w:rPr>
                <w:rFonts w:cstheme="minorHAnsi"/>
                <w:sz w:val="24"/>
                <w:szCs w:val="24"/>
              </w:rPr>
              <w:t>CFSP</w:t>
            </w:r>
          </w:p>
        </w:tc>
        <w:tc>
          <w:tcPr>
            <w:tcW w:w="5400" w:type="dxa"/>
          </w:tcPr>
          <w:p w:rsidR="00EB27FD" w:rsidRPr="00C4418D" w:rsidRDefault="00DA2BA7" w:rsidP="00920ED7">
            <w:pPr>
              <w:rPr>
                <w:rFonts w:cstheme="minorHAnsi"/>
                <w:sz w:val="24"/>
                <w:szCs w:val="24"/>
              </w:rPr>
            </w:pPr>
            <w:r w:rsidRPr="00C4418D">
              <w:rPr>
                <w:rFonts w:cstheme="minorHAnsi"/>
                <w:sz w:val="24"/>
                <w:szCs w:val="24"/>
              </w:rPr>
              <w:t>County Fiscal Strategy Paper</w:t>
            </w:r>
          </w:p>
        </w:tc>
      </w:tr>
      <w:tr w:rsidR="00EB27FD" w:rsidRPr="00C4418D" w:rsidTr="000B4734">
        <w:trPr>
          <w:trHeight w:val="576"/>
        </w:trPr>
        <w:tc>
          <w:tcPr>
            <w:tcW w:w="1530" w:type="dxa"/>
          </w:tcPr>
          <w:p w:rsidR="00EB27FD" w:rsidRPr="00C4418D" w:rsidRDefault="00EB27FD" w:rsidP="00920ED7">
            <w:pPr>
              <w:rPr>
                <w:rFonts w:cstheme="minorHAnsi"/>
                <w:sz w:val="24"/>
                <w:szCs w:val="24"/>
              </w:rPr>
            </w:pPr>
            <w:r w:rsidRPr="00C4418D">
              <w:rPr>
                <w:rFonts w:cstheme="minorHAnsi"/>
                <w:sz w:val="24"/>
                <w:szCs w:val="24"/>
              </w:rPr>
              <w:t>GDP</w:t>
            </w:r>
          </w:p>
        </w:tc>
        <w:tc>
          <w:tcPr>
            <w:tcW w:w="5400" w:type="dxa"/>
          </w:tcPr>
          <w:p w:rsidR="00EB27FD" w:rsidRPr="00C4418D" w:rsidRDefault="00DA2BA7" w:rsidP="00920ED7">
            <w:pPr>
              <w:rPr>
                <w:rFonts w:cstheme="minorHAnsi"/>
                <w:sz w:val="24"/>
                <w:szCs w:val="24"/>
              </w:rPr>
            </w:pPr>
            <w:r w:rsidRPr="00C4418D">
              <w:rPr>
                <w:rFonts w:cstheme="minorHAnsi"/>
                <w:sz w:val="24"/>
                <w:szCs w:val="24"/>
              </w:rPr>
              <w:t>Gross Domestic Product</w:t>
            </w:r>
          </w:p>
        </w:tc>
      </w:tr>
      <w:tr w:rsidR="00EB27FD" w:rsidRPr="00C4418D" w:rsidTr="000B4734">
        <w:trPr>
          <w:trHeight w:val="576"/>
        </w:trPr>
        <w:tc>
          <w:tcPr>
            <w:tcW w:w="1530" w:type="dxa"/>
          </w:tcPr>
          <w:p w:rsidR="00EB27FD" w:rsidRPr="00C4418D" w:rsidRDefault="00EB27FD" w:rsidP="00920ED7">
            <w:pPr>
              <w:rPr>
                <w:rFonts w:cstheme="minorHAnsi"/>
                <w:sz w:val="24"/>
                <w:szCs w:val="24"/>
              </w:rPr>
            </w:pPr>
            <w:r w:rsidRPr="00C4418D">
              <w:rPr>
                <w:rFonts w:cstheme="minorHAnsi"/>
                <w:sz w:val="24"/>
                <w:szCs w:val="24"/>
              </w:rPr>
              <w:t>IBEC</w:t>
            </w:r>
          </w:p>
        </w:tc>
        <w:tc>
          <w:tcPr>
            <w:tcW w:w="5400" w:type="dxa"/>
          </w:tcPr>
          <w:p w:rsidR="00EB27FD" w:rsidRPr="00C4418D" w:rsidRDefault="00DA2BA7" w:rsidP="00920ED7">
            <w:pPr>
              <w:rPr>
                <w:rFonts w:cstheme="minorHAnsi"/>
                <w:sz w:val="24"/>
                <w:szCs w:val="24"/>
              </w:rPr>
            </w:pPr>
            <w:r w:rsidRPr="00C4418D">
              <w:rPr>
                <w:rFonts w:cstheme="minorHAnsi"/>
                <w:bCs/>
                <w:sz w:val="23"/>
                <w:szCs w:val="23"/>
              </w:rPr>
              <w:t>Inter-Governmental Budget and Economic Council</w:t>
            </w:r>
          </w:p>
        </w:tc>
      </w:tr>
      <w:tr w:rsidR="00EB27FD" w:rsidRPr="00C4418D" w:rsidTr="000B4734">
        <w:trPr>
          <w:trHeight w:val="576"/>
        </w:trPr>
        <w:tc>
          <w:tcPr>
            <w:tcW w:w="1530" w:type="dxa"/>
          </w:tcPr>
          <w:p w:rsidR="00EB27FD" w:rsidRPr="00C4418D" w:rsidRDefault="00EB27FD" w:rsidP="00920ED7">
            <w:pPr>
              <w:rPr>
                <w:rFonts w:cstheme="minorHAnsi"/>
                <w:sz w:val="24"/>
                <w:szCs w:val="24"/>
              </w:rPr>
            </w:pPr>
            <w:r w:rsidRPr="00C4418D">
              <w:rPr>
                <w:rFonts w:cstheme="minorHAnsi"/>
                <w:sz w:val="24"/>
                <w:szCs w:val="24"/>
              </w:rPr>
              <w:t>ICT</w:t>
            </w:r>
          </w:p>
        </w:tc>
        <w:tc>
          <w:tcPr>
            <w:tcW w:w="5400" w:type="dxa"/>
          </w:tcPr>
          <w:p w:rsidR="00EB27FD" w:rsidRPr="00C4418D" w:rsidRDefault="00DA2BA7" w:rsidP="00920ED7">
            <w:pPr>
              <w:rPr>
                <w:rFonts w:cstheme="minorHAnsi"/>
                <w:sz w:val="24"/>
                <w:szCs w:val="24"/>
              </w:rPr>
            </w:pPr>
            <w:r w:rsidRPr="00C4418D">
              <w:rPr>
                <w:rFonts w:cstheme="minorHAnsi"/>
                <w:bCs/>
                <w:sz w:val="23"/>
                <w:szCs w:val="23"/>
              </w:rPr>
              <w:t>Information and Communication Technology</w:t>
            </w:r>
          </w:p>
        </w:tc>
      </w:tr>
      <w:tr w:rsidR="00EB27FD" w:rsidRPr="00C4418D" w:rsidTr="000B4734">
        <w:trPr>
          <w:trHeight w:val="576"/>
        </w:trPr>
        <w:tc>
          <w:tcPr>
            <w:tcW w:w="1530" w:type="dxa"/>
          </w:tcPr>
          <w:p w:rsidR="00EB27FD" w:rsidRPr="00C4418D" w:rsidRDefault="00EB27FD" w:rsidP="00920ED7">
            <w:pPr>
              <w:rPr>
                <w:rFonts w:cstheme="minorHAnsi"/>
                <w:sz w:val="24"/>
                <w:szCs w:val="24"/>
              </w:rPr>
            </w:pPr>
            <w:r w:rsidRPr="00C4418D">
              <w:rPr>
                <w:rFonts w:cstheme="minorHAnsi"/>
                <w:sz w:val="24"/>
                <w:szCs w:val="24"/>
              </w:rPr>
              <w:t>IFMIS</w:t>
            </w:r>
          </w:p>
        </w:tc>
        <w:tc>
          <w:tcPr>
            <w:tcW w:w="5400" w:type="dxa"/>
          </w:tcPr>
          <w:p w:rsidR="00EB27FD" w:rsidRPr="00C4418D" w:rsidRDefault="00DA2BA7" w:rsidP="00920ED7">
            <w:pPr>
              <w:rPr>
                <w:rFonts w:cstheme="minorHAnsi"/>
                <w:sz w:val="24"/>
                <w:szCs w:val="24"/>
              </w:rPr>
            </w:pPr>
            <w:r w:rsidRPr="00C4418D">
              <w:rPr>
                <w:rFonts w:cstheme="minorHAnsi"/>
                <w:bCs/>
                <w:sz w:val="23"/>
                <w:szCs w:val="23"/>
              </w:rPr>
              <w:t>Integrated Financial Management Information System</w:t>
            </w:r>
          </w:p>
        </w:tc>
      </w:tr>
      <w:tr w:rsidR="00EB27FD" w:rsidRPr="00C4418D" w:rsidTr="000B4734">
        <w:trPr>
          <w:trHeight w:val="576"/>
        </w:trPr>
        <w:tc>
          <w:tcPr>
            <w:tcW w:w="1530" w:type="dxa"/>
          </w:tcPr>
          <w:p w:rsidR="00EB27FD" w:rsidRPr="00C4418D" w:rsidRDefault="00EB27FD" w:rsidP="00920ED7">
            <w:pPr>
              <w:rPr>
                <w:rFonts w:cstheme="minorHAnsi"/>
                <w:sz w:val="24"/>
                <w:szCs w:val="24"/>
              </w:rPr>
            </w:pPr>
            <w:r w:rsidRPr="00C4418D">
              <w:rPr>
                <w:rFonts w:cstheme="minorHAnsi"/>
                <w:sz w:val="24"/>
                <w:szCs w:val="24"/>
              </w:rPr>
              <w:t>KNBS</w:t>
            </w:r>
          </w:p>
        </w:tc>
        <w:tc>
          <w:tcPr>
            <w:tcW w:w="5400" w:type="dxa"/>
          </w:tcPr>
          <w:p w:rsidR="00EB27FD" w:rsidRPr="00C4418D" w:rsidRDefault="00DA2BA7" w:rsidP="00920ED7">
            <w:pPr>
              <w:rPr>
                <w:rFonts w:cstheme="minorHAnsi"/>
                <w:sz w:val="24"/>
                <w:szCs w:val="24"/>
              </w:rPr>
            </w:pPr>
            <w:r w:rsidRPr="00C4418D">
              <w:rPr>
                <w:rFonts w:cstheme="minorHAnsi"/>
                <w:bCs/>
                <w:sz w:val="23"/>
                <w:szCs w:val="23"/>
              </w:rPr>
              <w:t>Kenya National Bureau of Statistics</w:t>
            </w:r>
          </w:p>
        </w:tc>
      </w:tr>
      <w:tr w:rsidR="008B4842" w:rsidRPr="00C4418D" w:rsidTr="000B4734">
        <w:trPr>
          <w:trHeight w:val="576"/>
        </w:trPr>
        <w:tc>
          <w:tcPr>
            <w:tcW w:w="1530" w:type="dxa"/>
          </w:tcPr>
          <w:p w:rsidR="008B4842" w:rsidRPr="00C4418D" w:rsidRDefault="008B4842" w:rsidP="00920ED7">
            <w:pPr>
              <w:rPr>
                <w:rFonts w:cstheme="minorHAnsi"/>
                <w:sz w:val="24"/>
                <w:szCs w:val="24"/>
              </w:rPr>
            </w:pPr>
            <w:r w:rsidRPr="00C4418D">
              <w:rPr>
                <w:rFonts w:cstheme="minorHAnsi"/>
                <w:sz w:val="24"/>
                <w:szCs w:val="24"/>
              </w:rPr>
              <w:t>MTEF</w:t>
            </w:r>
          </w:p>
        </w:tc>
        <w:tc>
          <w:tcPr>
            <w:tcW w:w="5400" w:type="dxa"/>
          </w:tcPr>
          <w:p w:rsidR="008B4842" w:rsidRPr="00C4418D" w:rsidRDefault="00DA2BA7" w:rsidP="00920ED7">
            <w:pPr>
              <w:rPr>
                <w:rFonts w:cstheme="minorHAnsi"/>
                <w:sz w:val="24"/>
                <w:szCs w:val="24"/>
              </w:rPr>
            </w:pPr>
            <w:r w:rsidRPr="00C4418D">
              <w:rPr>
                <w:rFonts w:cstheme="minorHAnsi"/>
                <w:sz w:val="24"/>
                <w:szCs w:val="24"/>
              </w:rPr>
              <w:t>Medium Term Expenditure Framework</w:t>
            </w:r>
          </w:p>
        </w:tc>
      </w:tr>
      <w:tr w:rsidR="008B4842" w:rsidRPr="00C4418D" w:rsidTr="000B4734">
        <w:trPr>
          <w:trHeight w:val="576"/>
        </w:trPr>
        <w:tc>
          <w:tcPr>
            <w:tcW w:w="1530" w:type="dxa"/>
          </w:tcPr>
          <w:p w:rsidR="008B4842" w:rsidRPr="00C4418D" w:rsidRDefault="008B4842" w:rsidP="00920ED7">
            <w:pPr>
              <w:rPr>
                <w:rFonts w:cstheme="minorHAnsi"/>
                <w:sz w:val="24"/>
                <w:szCs w:val="24"/>
              </w:rPr>
            </w:pPr>
            <w:r w:rsidRPr="00C4418D">
              <w:rPr>
                <w:rFonts w:cstheme="minorHAnsi"/>
                <w:sz w:val="24"/>
                <w:szCs w:val="24"/>
              </w:rPr>
              <w:t>MTP</w:t>
            </w:r>
          </w:p>
        </w:tc>
        <w:tc>
          <w:tcPr>
            <w:tcW w:w="5400" w:type="dxa"/>
          </w:tcPr>
          <w:p w:rsidR="008B4842" w:rsidRPr="00C4418D" w:rsidRDefault="00DA2BA7" w:rsidP="00920ED7">
            <w:pPr>
              <w:rPr>
                <w:rFonts w:cstheme="minorHAnsi"/>
                <w:sz w:val="24"/>
                <w:szCs w:val="24"/>
              </w:rPr>
            </w:pPr>
            <w:r w:rsidRPr="00C4418D">
              <w:rPr>
                <w:rFonts w:cstheme="minorHAnsi"/>
                <w:sz w:val="24"/>
                <w:szCs w:val="24"/>
              </w:rPr>
              <w:t>Medium-Term Plan</w:t>
            </w:r>
          </w:p>
        </w:tc>
      </w:tr>
      <w:tr w:rsidR="00EB27FD" w:rsidRPr="00C4418D" w:rsidTr="000B4734">
        <w:trPr>
          <w:trHeight w:val="576"/>
        </w:trPr>
        <w:tc>
          <w:tcPr>
            <w:tcW w:w="1530" w:type="dxa"/>
          </w:tcPr>
          <w:p w:rsidR="00EB27FD" w:rsidRPr="00C4418D" w:rsidRDefault="008B4842" w:rsidP="00920ED7">
            <w:pPr>
              <w:rPr>
                <w:rFonts w:cstheme="minorHAnsi"/>
                <w:sz w:val="24"/>
                <w:szCs w:val="24"/>
              </w:rPr>
            </w:pPr>
            <w:r w:rsidRPr="00C4418D">
              <w:rPr>
                <w:rFonts w:cstheme="minorHAnsi"/>
                <w:sz w:val="24"/>
                <w:szCs w:val="24"/>
              </w:rPr>
              <w:t>PE</w:t>
            </w:r>
          </w:p>
        </w:tc>
        <w:tc>
          <w:tcPr>
            <w:tcW w:w="5400" w:type="dxa"/>
          </w:tcPr>
          <w:p w:rsidR="00EB27FD" w:rsidRPr="00C4418D" w:rsidRDefault="00800FF0" w:rsidP="00920ED7">
            <w:pPr>
              <w:rPr>
                <w:rFonts w:cstheme="minorHAnsi"/>
                <w:sz w:val="24"/>
                <w:szCs w:val="24"/>
              </w:rPr>
            </w:pPr>
            <w:r w:rsidRPr="00C4418D">
              <w:rPr>
                <w:rFonts w:cstheme="minorHAnsi"/>
                <w:bCs/>
                <w:sz w:val="23"/>
                <w:szCs w:val="23"/>
              </w:rPr>
              <w:t>Personnel Emoluments</w:t>
            </w:r>
          </w:p>
        </w:tc>
      </w:tr>
      <w:tr w:rsidR="008B4842" w:rsidRPr="00C4418D" w:rsidTr="000B4734">
        <w:trPr>
          <w:trHeight w:val="576"/>
        </w:trPr>
        <w:tc>
          <w:tcPr>
            <w:tcW w:w="1530" w:type="dxa"/>
          </w:tcPr>
          <w:p w:rsidR="008B4842" w:rsidRPr="00C4418D" w:rsidRDefault="008B4842" w:rsidP="00920ED7">
            <w:pPr>
              <w:rPr>
                <w:rFonts w:cstheme="minorHAnsi"/>
                <w:sz w:val="24"/>
                <w:szCs w:val="24"/>
              </w:rPr>
            </w:pPr>
            <w:r w:rsidRPr="00C4418D">
              <w:rPr>
                <w:rFonts w:cstheme="minorHAnsi"/>
                <w:sz w:val="24"/>
                <w:szCs w:val="24"/>
              </w:rPr>
              <w:t>PFM</w:t>
            </w:r>
          </w:p>
        </w:tc>
        <w:tc>
          <w:tcPr>
            <w:tcW w:w="5400" w:type="dxa"/>
          </w:tcPr>
          <w:p w:rsidR="008B4842" w:rsidRPr="00C4418D" w:rsidRDefault="00800FF0" w:rsidP="00920ED7">
            <w:pPr>
              <w:rPr>
                <w:rFonts w:cstheme="minorHAnsi"/>
                <w:sz w:val="24"/>
                <w:szCs w:val="24"/>
              </w:rPr>
            </w:pPr>
            <w:r w:rsidRPr="00C4418D">
              <w:rPr>
                <w:rFonts w:cstheme="minorHAnsi"/>
                <w:sz w:val="24"/>
                <w:szCs w:val="24"/>
              </w:rPr>
              <w:t>Public Finance Management</w:t>
            </w:r>
          </w:p>
        </w:tc>
      </w:tr>
      <w:tr w:rsidR="008B4842" w:rsidRPr="00C4418D" w:rsidTr="000B4734">
        <w:trPr>
          <w:trHeight w:val="576"/>
        </w:trPr>
        <w:tc>
          <w:tcPr>
            <w:tcW w:w="1530" w:type="dxa"/>
          </w:tcPr>
          <w:p w:rsidR="008B4842" w:rsidRPr="00C4418D" w:rsidRDefault="008B4842" w:rsidP="00920ED7">
            <w:pPr>
              <w:rPr>
                <w:rFonts w:cstheme="minorHAnsi"/>
                <w:sz w:val="24"/>
                <w:szCs w:val="24"/>
              </w:rPr>
            </w:pPr>
            <w:r w:rsidRPr="00C4418D">
              <w:rPr>
                <w:rFonts w:cstheme="minorHAnsi"/>
                <w:sz w:val="24"/>
                <w:szCs w:val="24"/>
              </w:rPr>
              <w:t>PWD</w:t>
            </w:r>
          </w:p>
        </w:tc>
        <w:tc>
          <w:tcPr>
            <w:tcW w:w="5400" w:type="dxa"/>
          </w:tcPr>
          <w:p w:rsidR="008B4842" w:rsidRPr="00C4418D" w:rsidRDefault="00800FF0" w:rsidP="00920ED7">
            <w:pPr>
              <w:rPr>
                <w:rFonts w:cstheme="minorHAnsi"/>
                <w:sz w:val="24"/>
                <w:szCs w:val="24"/>
              </w:rPr>
            </w:pPr>
            <w:r w:rsidRPr="00C4418D">
              <w:rPr>
                <w:rFonts w:cstheme="minorHAnsi"/>
                <w:bCs/>
                <w:sz w:val="23"/>
                <w:szCs w:val="23"/>
              </w:rPr>
              <w:t>People with Disabilities</w:t>
            </w:r>
          </w:p>
        </w:tc>
      </w:tr>
      <w:tr w:rsidR="008B4842" w:rsidRPr="00C4418D" w:rsidTr="000B4734">
        <w:trPr>
          <w:trHeight w:val="576"/>
        </w:trPr>
        <w:tc>
          <w:tcPr>
            <w:tcW w:w="1530" w:type="dxa"/>
          </w:tcPr>
          <w:p w:rsidR="008B4842" w:rsidRPr="00C4418D" w:rsidRDefault="008B4842" w:rsidP="00920ED7">
            <w:pPr>
              <w:rPr>
                <w:rFonts w:cstheme="minorHAnsi"/>
                <w:sz w:val="24"/>
                <w:szCs w:val="24"/>
              </w:rPr>
            </w:pPr>
            <w:r w:rsidRPr="00C4418D">
              <w:rPr>
                <w:rFonts w:cstheme="minorHAnsi"/>
                <w:sz w:val="24"/>
                <w:szCs w:val="24"/>
              </w:rPr>
              <w:t>SRC</w:t>
            </w:r>
          </w:p>
        </w:tc>
        <w:tc>
          <w:tcPr>
            <w:tcW w:w="5400" w:type="dxa"/>
          </w:tcPr>
          <w:p w:rsidR="008B4842" w:rsidRPr="00C4418D" w:rsidRDefault="00800FF0" w:rsidP="00920ED7">
            <w:pPr>
              <w:rPr>
                <w:rFonts w:cstheme="minorHAnsi"/>
                <w:sz w:val="24"/>
                <w:szCs w:val="24"/>
              </w:rPr>
            </w:pPr>
            <w:r w:rsidRPr="00C4418D">
              <w:rPr>
                <w:rFonts w:cstheme="minorHAnsi"/>
                <w:bCs/>
                <w:sz w:val="23"/>
                <w:szCs w:val="23"/>
              </w:rPr>
              <w:t>Salaries and Remuneration Commission</w:t>
            </w:r>
          </w:p>
        </w:tc>
      </w:tr>
      <w:tr w:rsidR="008B4842" w:rsidRPr="00C4418D" w:rsidTr="000B4734">
        <w:trPr>
          <w:trHeight w:val="576"/>
        </w:trPr>
        <w:tc>
          <w:tcPr>
            <w:tcW w:w="1530" w:type="dxa"/>
          </w:tcPr>
          <w:p w:rsidR="008B4842" w:rsidRPr="00C4418D" w:rsidRDefault="008B4842" w:rsidP="00920ED7">
            <w:pPr>
              <w:rPr>
                <w:rFonts w:cstheme="minorHAnsi"/>
                <w:sz w:val="24"/>
                <w:szCs w:val="24"/>
              </w:rPr>
            </w:pPr>
            <w:r w:rsidRPr="00C4418D">
              <w:rPr>
                <w:rFonts w:cstheme="minorHAnsi"/>
                <w:sz w:val="24"/>
                <w:szCs w:val="24"/>
              </w:rPr>
              <w:t>SWG</w:t>
            </w:r>
          </w:p>
        </w:tc>
        <w:tc>
          <w:tcPr>
            <w:tcW w:w="5400" w:type="dxa"/>
          </w:tcPr>
          <w:p w:rsidR="008B4842" w:rsidRPr="00C4418D" w:rsidRDefault="00800FF0" w:rsidP="00920ED7">
            <w:pPr>
              <w:rPr>
                <w:rFonts w:cstheme="minorHAnsi"/>
                <w:sz w:val="24"/>
                <w:szCs w:val="24"/>
              </w:rPr>
            </w:pPr>
            <w:r w:rsidRPr="00C4418D">
              <w:rPr>
                <w:rFonts w:cstheme="minorHAnsi"/>
                <w:bCs/>
                <w:sz w:val="23"/>
                <w:szCs w:val="23"/>
              </w:rPr>
              <w:t>Sector Working Group</w:t>
            </w:r>
          </w:p>
        </w:tc>
      </w:tr>
    </w:tbl>
    <w:p w:rsidR="0096562F" w:rsidRPr="00C4418D" w:rsidRDefault="0096562F" w:rsidP="00920ED7">
      <w:pPr>
        <w:spacing w:after="0"/>
        <w:rPr>
          <w:rFonts w:cstheme="minorHAnsi"/>
          <w:b/>
          <w:color w:val="00B0F0"/>
          <w:sz w:val="24"/>
          <w:szCs w:val="24"/>
        </w:rPr>
      </w:pPr>
    </w:p>
    <w:p w:rsidR="00920ED7" w:rsidRPr="00C4418D" w:rsidRDefault="00920ED7" w:rsidP="00F1744C">
      <w:pPr>
        <w:rPr>
          <w:rFonts w:cstheme="minorHAnsi"/>
          <w:sz w:val="24"/>
          <w:szCs w:val="24"/>
        </w:rPr>
      </w:pPr>
    </w:p>
    <w:p w:rsidR="00920ED7" w:rsidRPr="00C4418D" w:rsidRDefault="00920ED7">
      <w:pPr>
        <w:rPr>
          <w:rFonts w:cstheme="minorHAnsi"/>
          <w:sz w:val="24"/>
          <w:szCs w:val="24"/>
        </w:rPr>
      </w:pPr>
      <w:r w:rsidRPr="00C4418D">
        <w:rPr>
          <w:rFonts w:cstheme="minorHAnsi"/>
          <w:sz w:val="24"/>
          <w:szCs w:val="24"/>
        </w:rPr>
        <w:br w:type="page"/>
      </w:r>
    </w:p>
    <w:p w:rsidR="000B4734" w:rsidRPr="00223805" w:rsidRDefault="000B4734" w:rsidP="00223805">
      <w:pPr>
        <w:pStyle w:val="Heading1"/>
        <w:spacing w:after="240"/>
        <w:rPr>
          <w:color w:val="auto"/>
        </w:rPr>
      </w:pPr>
      <w:bookmarkStart w:id="3" w:name="_Toc525549604"/>
      <w:r w:rsidRPr="00223805">
        <w:rPr>
          <w:color w:val="auto"/>
        </w:rPr>
        <w:lastRenderedPageBreak/>
        <w:t>LIST OF TABLES</w:t>
      </w:r>
      <w:r w:rsidR="006006A7">
        <w:rPr>
          <w:color w:val="auto"/>
        </w:rPr>
        <w:t xml:space="preserve"> AND FIGURES</w:t>
      </w:r>
      <w:bookmarkEnd w:id="3"/>
    </w:p>
    <w:p w:rsidR="00D41CFF" w:rsidRDefault="006006A7" w:rsidP="00D41CFF">
      <w:pPr>
        <w:tabs>
          <w:tab w:val="left" w:pos="2355"/>
        </w:tabs>
        <w:spacing w:after="0"/>
        <w:rPr>
          <w:rFonts w:cstheme="minorHAnsi"/>
          <w:b/>
          <w:sz w:val="24"/>
          <w:szCs w:val="24"/>
        </w:rPr>
      </w:pPr>
      <w:r w:rsidRPr="006006A7">
        <w:rPr>
          <w:rFonts w:cstheme="minorHAnsi"/>
          <w:b/>
          <w:sz w:val="24"/>
          <w:szCs w:val="24"/>
        </w:rPr>
        <w:t>List of Tables</w:t>
      </w:r>
    </w:p>
    <w:p w:rsidR="00CE5575" w:rsidRPr="006006A7" w:rsidRDefault="00CE5575" w:rsidP="00D41CFF">
      <w:pPr>
        <w:tabs>
          <w:tab w:val="left" w:pos="2355"/>
        </w:tabs>
        <w:spacing w:after="0"/>
        <w:rPr>
          <w:rFonts w:cstheme="minorHAnsi"/>
          <w:b/>
          <w:sz w:val="24"/>
          <w:szCs w:val="24"/>
        </w:rPr>
      </w:pPr>
    </w:p>
    <w:p w:rsidR="00D41CFF" w:rsidRPr="00C4418D" w:rsidRDefault="000B4734" w:rsidP="00D41CFF">
      <w:pPr>
        <w:spacing w:after="0"/>
        <w:rPr>
          <w:rFonts w:cstheme="minorHAnsi"/>
          <w:sz w:val="24"/>
          <w:szCs w:val="24"/>
        </w:rPr>
      </w:pPr>
      <w:r w:rsidRPr="00C4418D">
        <w:rPr>
          <w:rFonts w:cstheme="minorHAnsi"/>
          <w:sz w:val="24"/>
          <w:szCs w:val="24"/>
        </w:rPr>
        <w:t xml:space="preserve">Table </w:t>
      </w:r>
      <w:r w:rsidR="006006A7">
        <w:rPr>
          <w:rFonts w:cstheme="minorHAnsi"/>
          <w:sz w:val="24"/>
          <w:szCs w:val="24"/>
        </w:rPr>
        <w:t>2.</w:t>
      </w:r>
      <w:r w:rsidRPr="00C4418D">
        <w:rPr>
          <w:rFonts w:cstheme="minorHAnsi"/>
          <w:sz w:val="24"/>
          <w:szCs w:val="24"/>
        </w:rPr>
        <w:t xml:space="preserve">1: </w:t>
      </w:r>
      <w:r w:rsidRPr="00C4418D">
        <w:rPr>
          <w:rFonts w:cstheme="minorHAnsi"/>
          <w:sz w:val="24"/>
          <w:szCs w:val="24"/>
        </w:rPr>
        <w:tab/>
        <w:t>County Fiscal</w:t>
      </w:r>
      <w:r w:rsidR="00D41CFF" w:rsidRPr="00C4418D">
        <w:rPr>
          <w:rFonts w:cstheme="minorHAnsi"/>
          <w:sz w:val="24"/>
          <w:szCs w:val="24"/>
        </w:rPr>
        <w:t xml:space="preserve"> </w:t>
      </w:r>
      <w:r w:rsidRPr="00C4418D">
        <w:rPr>
          <w:rFonts w:cstheme="minorHAnsi"/>
          <w:sz w:val="24"/>
          <w:szCs w:val="24"/>
        </w:rPr>
        <w:t>Performance</w:t>
      </w:r>
      <w:r w:rsidR="00D41CFF" w:rsidRPr="00C4418D">
        <w:rPr>
          <w:rFonts w:cstheme="minorHAnsi"/>
          <w:sz w:val="24"/>
          <w:szCs w:val="24"/>
        </w:rPr>
        <w:t xml:space="preserve"> </w:t>
      </w:r>
    </w:p>
    <w:p w:rsidR="00D41CFF" w:rsidRPr="00C4418D" w:rsidRDefault="00D41CFF" w:rsidP="00D41CFF">
      <w:pPr>
        <w:spacing w:after="0"/>
        <w:rPr>
          <w:rFonts w:cstheme="minorHAnsi"/>
          <w:sz w:val="24"/>
          <w:szCs w:val="24"/>
        </w:rPr>
      </w:pPr>
      <w:r w:rsidRPr="00C4418D">
        <w:rPr>
          <w:rFonts w:cstheme="minorHAnsi"/>
          <w:sz w:val="24"/>
          <w:szCs w:val="24"/>
        </w:rPr>
        <w:t xml:space="preserve">Table </w:t>
      </w:r>
      <w:r w:rsidR="006006A7">
        <w:rPr>
          <w:rFonts w:cstheme="minorHAnsi"/>
          <w:sz w:val="24"/>
          <w:szCs w:val="24"/>
        </w:rPr>
        <w:t>2.</w:t>
      </w:r>
      <w:r w:rsidR="00005E88">
        <w:rPr>
          <w:rFonts w:cstheme="minorHAnsi"/>
          <w:sz w:val="24"/>
          <w:szCs w:val="24"/>
        </w:rPr>
        <w:t>2</w:t>
      </w:r>
      <w:r w:rsidRPr="00C4418D">
        <w:rPr>
          <w:rFonts w:cstheme="minorHAnsi"/>
          <w:sz w:val="24"/>
          <w:szCs w:val="24"/>
        </w:rPr>
        <w:t xml:space="preserve">: </w:t>
      </w:r>
      <w:r w:rsidRPr="00C4418D">
        <w:rPr>
          <w:rFonts w:cstheme="minorHAnsi"/>
          <w:sz w:val="24"/>
          <w:szCs w:val="24"/>
        </w:rPr>
        <w:tab/>
      </w:r>
      <w:r w:rsidR="00D742B0">
        <w:rPr>
          <w:rFonts w:cstheme="minorHAnsi"/>
          <w:sz w:val="24"/>
          <w:szCs w:val="24"/>
        </w:rPr>
        <w:t>Showing Absorption rates per sector and</w:t>
      </w:r>
      <w:r w:rsidR="00005E88">
        <w:rPr>
          <w:rFonts w:cstheme="minorHAnsi"/>
          <w:sz w:val="24"/>
          <w:szCs w:val="24"/>
        </w:rPr>
        <w:t xml:space="preserve"> comparison with CFSP 2021</w:t>
      </w:r>
    </w:p>
    <w:p w:rsidR="00D41CFF" w:rsidRPr="00C4418D" w:rsidRDefault="00D41CFF" w:rsidP="00D41CFF">
      <w:pPr>
        <w:spacing w:after="0"/>
        <w:rPr>
          <w:rFonts w:cstheme="minorHAnsi"/>
          <w:sz w:val="24"/>
          <w:szCs w:val="24"/>
        </w:rPr>
      </w:pPr>
      <w:r w:rsidRPr="00C4418D">
        <w:rPr>
          <w:rFonts w:cstheme="minorHAnsi"/>
          <w:sz w:val="24"/>
          <w:szCs w:val="24"/>
        </w:rPr>
        <w:t xml:space="preserve">Table </w:t>
      </w:r>
      <w:r w:rsidR="006006A7">
        <w:rPr>
          <w:rFonts w:cstheme="minorHAnsi"/>
          <w:sz w:val="24"/>
          <w:szCs w:val="24"/>
        </w:rPr>
        <w:t>2.</w:t>
      </w:r>
      <w:r w:rsidR="00005E88">
        <w:rPr>
          <w:rFonts w:cstheme="minorHAnsi"/>
          <w:sz w:val="24"/>
          <w:szCs w:val="24"/>
        </w:rPr>
        <w:t>3</w:t>
      </w:r>
      <w:r w:rsidRPr="00C4418D">
        <w:rPr>
          <w:rFonts w:cstheme="minorHAnsi"/>
          <w:sz w:val="24"/>
          <w:szCs w:val="24"/>
        </w:rPr>
        <w:t xml:space="preserve">: </w:t>
      </w:r>
      <w:r w:rsidRPr="00C4418D">
        <w:rPr>
          <w:rFonts w:cstheme="minorHAnsi"/>
          <w:sz w:val="24"/>
          <w:szCs w:val="24"/>
        </w:rPr>
        <w:tab/>
      </w:r>
      <w:r w:rsidR="00FC2405" w:rsidRPr="00C4418D">
        <w:rPr>
          <w:rFonts w:cstheme="minorHAnsi"/>
          <w:sz w:val="24"/>
          <w:szCs w:val="24"/>
        </w:rPr>
        <w:t>County Government F</w:t>
      </w:r>
      <w:r w:rsidRPr="00C4418D">
        <w:rPr>
          <w:rFonts w:cstheme="minorHAnsi"/>
          <w:sz w:val="24"/>
          <w:szCs w:val="24"/>
        </w:rPr>
        <w:t xml:space="preserve">iscal projection in the medium term </w:t>
      </w:r>
    </w:p>
    <w:p w:rsidR="00D41CFF" w:rsidRPr="00C4418D" w:rsidRDefault="00D41CFF" w:rsidP="00D41CFF">
      <w:pPr>
        <w:spacing w:after="0"/>
        <w:rPr>
          <w:rFonts w:cstheme="minorHAnsi"/>
          <w:sz w:val="24"/>
          <w:szCs w:val="24"/>
        </w:rPr>
      </w:pPr>
      <w:r w:rsidRPr="00C4418D">
        <w:rPr>
          <w:rFonts w:cstheme="minorHAnsi"/>
          <w:sz w:val="24"/>
          <w:szCs w:val="24"/>
        </w:rPr>
        <w:t xml:space="preserve">Table </w:t>
      </w:r>
      <w:r w:rsidR="006006A7">
        <w:rPr>
          <w:rFonts w:cstheme="minorHAnsi"/>
          <w:sz w:val="24"/>
          <w:szCs w:val="24"/>
        </w:rPr>
        <w:t>2.</w:t>
      </w:r>
      <w:r w:rsidR="00005E88">
        <w:rPr>
          <w:rFonts w:cstheme="minorHAnsi"/>
          <w:sz w:val="24"/>
          <w:szCs w:val="24"/>
        </w:rPr>
        <w:t>4</w:t>
      </w:r>
      <w:r w:rsidRPr="00C4418D">
        <w:rPr>
          <w:rFonts w:cstheme="minorHAnsi"/>
          <w:sz w:val="24"/>
          <w:szCs w:val="24"/>
        </w:rPr>
        <w:t xml:space="preserve">: </w:t>
      </w:r>
      <w:r w:rsidRPr="00C4418D">
        <w:rPr>
          <w:rFonts w:cstheme="minorHAnsi"/>
          <w:sz w:val="24"/>
          <w:szCs w:val="24"/>
        </w:rPr>
        <w:tab/>
      </w:r>
      <w:r w:rsidR="00C70907" w:rsidRPr="00C4418D">
        <w:rPr>
          <w:rFonts w:cstheme="minorHAnsi"/>
          <w:sz w:val="24"/>
          <w:szCs w:val="24"/>
        </w:rPr>
        <w:t xml:space="preserve">Summary of indicative </w:t>
      </w:r>
      <w:r w:rsidRPr="00C4418D">
        <w:rPr>
          <w:rFonts w:cstheme="minorHAnsi"/>
          <w:sz w:val="24"/>
          <w:szCs w:val="24"/>
        </w:rPr>
        <w:t xml:space="preserve">Expenditure </w:t>
      </w:r>
      <w:r w:rsidR="00C70907" w:rsidRPr="00C4418D">
        <w:rPr>
          <w:rFonts w:cstheme="minorHAnsi"/>
          <w:sz w:val="24"/>
          <w:szCs w:val="24"/>
        </w:rPr>
        <w:t>Cei</w:t>
      </w:r>
      <w:r w:rsidR="00005E88">
        <w:rPr>
          <w:rFonts w:cstheme="minorHAnsi"/>
          <w:sz w:val="24"/>
          <w:szCs w:val="24"/>
        </w:rPr>
        <w:t>ling for the MTEF period FY 2023/24</w:t>
      </w:r>
      <w:r w:rsidR="00E856E3" w:rsidRPr="00C4418D">
        <w:rPr>
          <w:rFonts w:cstheme="minorHAnsi"/>
          <w:sz w:val="24"/>
          <w:szCs w:val="24"/>
        </w:rPr>
        <w:t xml:space="preserve"> </w:t>
      </w:r>
    </w:p>
    <w:p w:rsidR="00D41CFF" w:rsidRPr="00C4418D" w:rsidRDefault="00D41CFF" w:rsidP="00D41CFF">
      <w:pPr>
        <w:spacing w:after="0"/>
        <w:ind w:left="1440" w:hanging="1440"/>
        <w:rPr>
          <w:rFonts w:cstheme="minorHAnsi"/>
          <w:color w:val="000000" w:themeColor="text1"/>
          <w:sz w:val="24"/>
          <w:szCs w:val="24"/>
        </w:rPr>
      </w:pPr>
      <w:r w:rsidRPr="00C4418D">
        <w:rPr>
          <w:rFonts w:cstheme="minorHAnsi"/>
          <w:color w:val="000000" w:themeColor="text1"/>
          <w:sz w:val="24"/>
          <w:szCs w:val="24"/>
        </w:rPr>
        <w:t xml:space="preserve">Table </w:t>
      </w:r>
      <w:r w:rsidR="006006A7">
        <w:rPr>
          <w:rFonts w:cstheme="minorHAnsi"/>
          <w:color w:val="000000" w:themeColor="text1"/>
          <w:sz w:val="24"/>
          <w:szCs w:val="24"/>
        </w:rPr>
        <w:t>2.</w:t>
      </w:r>
      <w:r w:rsidR="00005E88">
        <w:rPr>
          <w:rFonts w:cstheme="minorHAnsi"/>
          <w:color w:val="000000" w:themeColor="text1"/>
          <w:sz w:val="24"/>
          <w:szCs w:val="24"/>
        </w:rPr>
        <w:t>5</w:t>
      </w:r>
      <w:r w:rsidRPr="00C4418D">
        <w:rPr>
          <w:rFonts w:cstheme="minorHAnsi"/>
          <w:color w:val="000000" w:themeColor="text1"/>
          <w:sz w:val="24"/>
          <w:szCs w:val="24"/>
        </w:rPr>
        <w:t xml:space="preserve">: </w:t>
      </w:r>
      <w:r w:rsidRPr="00C4418D">
        <w:rPr>
          <w:rFonts w:cstheme="minorHAnsi"/>
          <w:color w:val="000000" w:themeColor="text1"/>
          <w:sz w:val="24"/>
          <w:szCs w:val="24"/>
        </w:rPr>
        <w:tab/>
      </w:r>
      <w:r w:rsidR="00D742B0">
        <w:rPr>
          <w:rFonts w:cstheme="minorHAnsi"/>
          <w:color w:val="000000" w:themeColor="text1"/>
          <w:sz w:val="24"/>
          <w:szCs w:val="24"/>
        </w:rPr>
        <w:t xml:space="preserve">Summary of Expenditure projections </w:t>
      </w:r>
      <w:r w:rsidR="00E856E3" w:rsidRPr="00C4418D">
        <w:rPr>
          <w:rFonts w:cstheme="minorHAnsi"/>
          <w:color w:val="000000" w:themeColor="text1"/>
          <w:sz w:val="24"/>
          <w:szCs w:val="24"/>
        </w:rPr>
        <w:t xml:space="preserve">for the MTEF period </w:t>
      </w:r>
      <w:r w:rsidR="00005E88">
        <w:rPr>
          <w:rFonts w:cstheme="minorHAnsi"/>
          <w:color w:val="000000" w:themeColor="text1"/>
          <w:sz w:val="24"/>
          <w:szCs w:val="24"/>
        </w:rPr>
        <w:t>FY 2023/24</w:t>
      </w:r>
    </w:p>
    <w:p w:rsidR="00D41CFF" w:rsidRPr="00C4418D" w:rsidRDefault="00D41CFF" w:rsidP="00D41CFF">
      <w:pPr>
        <w:spacing w:after="0"/>
        <w:rPr>
          <w:rFonts w:cstheme="minorHAnsi"/>
          <w:sz w:val="24"/>
          <w:szCs w:val="24"/>
        </w:rPr>
      </w:pPr>
      <w:r w:rsidRPr="00C4418D">
        <w:rPr>
          <w:rFonts w:cstheme="minorHAnsi"/>
          <w:sz w:val="24"/>
          <w:szCs w:val="24"/>
        </w:rPr>
        <w:t xml:space="preserve">Table </w:t>
      </w:r>
      <w:r w:rsidR="006006A7">
        <w:rPr>
          <w:rFonts w:cstheme="minorHAnsi"/>
          <w:sz w:val="24"/>
          <w:szCs w:val="24"/>
        </w:rPr>
        <w:t>2.</w:t>
      </w:r>
      <w:r w:rsidR="00005E88">
        <w:rPr>
          <w:rFonts w:cstheme="minorHAnsi"/>
          <w:sz w:val="24"/>
          <w:szCs w:val="24"/>
        </w:rPr>
        <w:t>6</w:t>
      </w:r>
      <w:r w:rsidRPr="00C4418D">
        <w:rPr>
          <w:rFonts w:cstheme="minorHAnsi"/>
          <w:sz w:val="24"/>
          <w:szCs w:val="24"/>
        </w:rPr>
        <w:t xml:space="preserve">: </w:t>
      </w:r>
      <w:r w:rsidRPr="00C4418D">
        <w:rPr>
          <w:rFonts w:cstheme="minorHAnsi"/>
          <w:sz w:val="24"/>
          <w:szCs w:val="24"/>
        </w:rPr>
        <w:tab/>
        <w:t xml:space="preserve">Recurrent Ceilings for the MTEF period </w:t>
      </w:r>
      <w:r w:rsidR="00005E88">
        <w:rPr>
          <w:rFonts w:cstheme="minorHAnsi"/>
          <w:sz w:val="24"/>
          <w:szCs w:val="24"/>
        </w:rPr>
        <w:t>FY 2023/24</w:t>
      </w:r>
    </w:p>
    <w:p w:rsidR="00D41CFF" w:rsidRPr="00700B59" w:rsidRDefault="00D41CFF" w:rsidP="00700B59">
      <w:pPr>
        <w:spacing w:after="0"/>
        <w:rPr>
          <w:rFonts w:cstheme="minorHAnsi"/>
          <w:sz w:val="24"/>
          <w:szCs w:val="24"/>
        </w:rPr>
      </w:pPr>
      <w:r w:rsidRPr="00700B59">
        <w:rPr>
          <w:rFonts w:cstheme="minorHAnsi"/>
          <w:sz w:val="24"/>
          <w:szCs w:val="24"/>
        </w:rPr>
        <w:t>Table</w:t>
      </w:r>
      <w:r w:rsidR="00E856E3" w:rsidRPr="00700B59">
        <w:rPr>
          <w:rFonts w:cstheme="minorHAnsi"/>
          <w:sz w:val="24"/>
          <w:szCs w:val="24"/>
        </w:rPr>
        <w:t xml:space="preserve"> </w:t>
      </w:r>
      <w:r w:rsidR="006006A7">
        <w:rPr>
          <w:rFonts w:cstheme="minorHAnsi"/>
          <w:sz w:val="24"/>
          <w:szCs w:val="24"/>
        </w:rPr>
        <w:t>2.</w:t>
      </w:r>
      <w:r w:rsidR="00005E88">
        <w:rPr>
          <w:rFonts w:cstheme="minorHAnsi"/>
          <w:sz w:val="24"/>
          <w:szCs w:val="24"/>
        </w:rPr>
        <w:t>7</w:t>
      </w:r>
      <w:r w:rsidR="00E856E3" w:rsidRPr="00700B59">
        <w:rPr>
          <w:rFonts w:cstheme="minorHAnsi"/>
          <w:sz w:val="24"/>
          <w:szCs w:val="24"/>
        </w:rPr>
        <w:t>:</w:t>
      </w:r>
      <w:r w:rsidR="00E856E3" w:rsidRPr="00700B59">
        <w:rPr>
          <w:rFonts w:cstheme="minorHAnsi"/>
          <w:sz w:val="24"/>
          <w:szCs w:val="24"/>
        </w:rPr>
        <w:tab/>
        <w:t xml:space="preserve">Budget Calendar for the </w:t>
      </w:r>
      <w:r w:rsidR="00005E88">
        <w:rPr>
          <w:rFonts w:cstheme="minorHAnsi"/>
          <w:sz w:val="24"/>
          <w:szCs w:val="24"/>
        </w:rPr>
        <w:t>FY 2023/24</w:t>
      </w:r>
      <w:r w:rsidR="00E856E3" w:rsidRPr="00700B59">
        <w:rPr>
          <w:rFonts w:cstheme="minorHAnsi"/>
          <w:sz w:val="24"/>
          <w:szCs w:val="24"/>
        </w:rPr>
        <w:t xml:space="preserve"> </w:t>
      </w:r>
      <w:r w:rsidRPr="00700B59">
        <w:rPr>
          <w:rFonts w:cstheme="minorHAnsi"/>
          <w:sz w:val="24"/>
          <w:szCs w:val="24"/>
        </w:rPr>
        <w:t xml:space="preserve">Budget </w:t>
      </w:r>
    </w:p>
    <w:p w:rsidR="00761FA5" w:rsidRDefault="00761FA5" w:rsidP="006006A7">
      <w:pPr>
        <w:tabs>
          <w:tab w:val="left" w:pos="2355"/>
        </w:tabs>
        <w:spacing w:after="0"/>
        <w:rPr>
          <w:rFonts w:cstheme="minorHAnsi"/>
          <w:b/>
          <w:sz w:val="24"/>
          <w:szCs w:val="24"/>
        </w:rPr>
      </w:pPr>
    </w:p>
    <w:p w:rsidR="006006A7" w:rsidRDefault="00761FA5" w:rsidP="006006A7">
      <w:pPr>
        <w:tabs>
          <w:tab w:val="left" w:pos="2355"/>
        </w:tabs>
        <w:spacing w:after="0"/>
        <w:rPr>
          <w:rFonts w:cstheme="minorHAnsi"/>
          <w:b/>
          <w:sz w:val="24"/>
          <w:szCs w:val="24"/>
        </w:rPr>
      </w:pPr>
      <w:r>
        <w:rPr>
          <w:rFonts w:cstheme="minorHAnsi"/>
          <w:b/>
          <w:sz w:val="24"/>
          <w:szCs w:val="24"/>
        </w:rPr>
        <w:t>List of Figures</w:t>
      </w:r>
    </w:p>
    <w:p w:rsidR="00CE5575" w:rsidRPr="006006A7" w:rsidRDefault="00CE5575" w:rsidP="006006A7">
      <w:pPr>
        <w:tabs>
          <w:tab w:val="left" w:pos="2355"/>
        </w:tabs>
        <w:spacing w:after="0"/>
        <w:rPr>
          <w:rFonts w:cstheme="minorHAnsi"/>
          <w:b/>
          <w:sz w:val="24"/>
          <w:szCs w:val="24"/>
        </w:rPr>
      </w:pPr>
    </w:p>
    <w:p w:rsidR="00005E88" w:rsidRPr="00C4418D" w:rsidRDefault="00005E88" w:rsidP="00005E88">
      <w:pPr>
        <w:spacing w:after="0"/>
        <w:rPr>
          <w:rFonts w:cstheme="minorHAnsi"/>
          <w:sz w:val="24"/>
          <w:szCs w:val="24"/>
        </w:rPr>
      </w:pPr>
      <w:r>
        <w:rPr>
          <w:rFonts w:cstheme="minorHAnsi"/>
          <w:sz w:val="24"/>
          <w:szCs w:val="24"/>
        </w:rPr>
        <w:t xml:space="preserve">Figure </w:t>
      </w:r>
      <w:r w:rsidRPr="00C4418D">
        <w:rPr>
          <w:rFonts w:cstheme="minorHAnsi"/>
          <w:sz w:val="24"/>
          <w:szCs w:val="24"/>
        </w:rPr>
        <w:t xml:space="preserve">1: </w:t>
      </w:r>
      <w:r w:rsidRPr="00C4418D">
        <w:rPr>
          <w:rFonts w:cstheme="minorHAnsi"/>
          <w:sz w:val="24"/>
          <w:szCs w:val="24"/>
        </w:rPr>
        <w:tab/>
        <w:t>Revenue Performance per stream</w:t>
      </w:r>
    </w:p>
    <w:p w:rsidR="006006A7" w:rsidRPr="00C4418D" w:rsidRDefault="00761FA5" w:rsidP="006006A7">
      <w:pPr>
        <w:spacing w:after="0"/>
        <w:rPr>
          <w:rFonts w:cstheme="minorHAnsi"/>
          <w:sz w:val="24"/>
          <w:szCs w:val="24"/>
        </w:rPr>
      </w:pPr>
      <w:r>
        <w:rPr>
          <w:rFonts w:cstheme="minorHAnsi"/>
          <w:sz w:val="24"/>
          <w:szCs w:val="24"/>
        </w:rPr>
        <w:t xml:space="preserve">Figure </w:t>
      </w:r>
      <w:r w:rsidR="00005E88">
        <w:rPr>
          <w:rFonts w:cstheme="minorHAnsi"/>
          <w:sz w:val="24"/>
          <w:szCs w:val="24"/>
        </w:rPr>
        <w:t>2</w:t>
      </w:r>
      <w:r w:rsidR="006006A7" w:rsidRPr="00C4418D">
        <w:rPr>
          <w:rFonts w:cstheme="minorHAnsi"/>
          <w:sz w:val="24"/>
          <w:szCs w:val="24"/>
        </w:rPr>
        <w:t xml:space="preserve">: </w:t>
      </w:r>
      <w:r w:rsidR="006006A7" w:rsidRPr="00C4418D">
        <w:rPr>
          <w:rFonts w:cstheme="minorHAnsi"/>
          <w:sz w:val="24"/>
          <w:szCs w:val="24"/>
        </w:rPr>
        <w:tab/>
      </w:r>
      <w:r w:rsidR="00CE5575">
        <w:rPr>
          <w:rFonts w:cstheme="minorHAnsi"/>
          <w:sz w:val="24"/>
          <w:szCs w:val="24"/>
        </w:rPr>
        <w:t>Recurrent Versus Development expenditure</w:t>
      </w:r>
      <w:r w:rsidR="006006A7" w:rsidRPr="00C4418D">
        <w:rPr>
          <w:rFonts w:cstheme="minorHAnsi"/>
          <w:sz w:val="24"/>
          <w:szCs w:val="24"/>
        </w:rPr>
        <w:t xml:space="preserve"> </w:t>
      </w:r>
    </w:p>
    <w:p w:rsidR="006006A7" w:rsidRPr="00C4418D" w:rsidRDefault="00005E88" w:rsidP="006006A7">
      <w:pPr>
        <w:spacing w:after="0"/>
        <w:rPr>
          <w:rFonts w:cstheme="minorHAnsi"/>
          <w:sz w:val="24"/>
          <w:szCs w:val="24"/>
        </w:rPr>
      </w:pPr>
      <w:r>
        <w:rPr>
          <w:rFonts w:cstheme="minorHAnsi"/>
          <w:sz w:val="24"/>
          <w:szCs w:val="24"/>
        </w:rPr>
        <w:t>Figure 3</w:t>
      </w:r>
      <w:r w:rsidR="006006A7">
        <w:rPr>
          <w:rFonts w:cstheme="minorHAnsi"/>
          <w:sz w:val="24"/>
          <w:szCs w:val="24"/>
        </w:rPr>
        <w:t xml:space="preserve">: </w:t>
      </w:r>
      <w:r w:rsidR="006006A7">
        <w:rPr>
          <w:rFonts w:cstheme="minorHAnsi"/>
          <w:sz w:val="24"/>
          <w:szCs w:val="24"/>
        </w:rPr>
        <w:tab/>
      </w:r>
      <w:r w:rsidR="00CE5575">
        <w:rPr>
          <w:rFonts w:cstheme="minorHAnsi"/>
          <w:sz w:val="24"/>
          <w:szCs w:val="24"/>
        </w:rPr>
        <w:t>Expenditure per economic classification</w:t>
      </w:r>
    </w:p>
    <w:p w:rsidR="00086364" w:rsidRPr="00223805" w:rsidRDefault="00D41CFF" w:rsidP="00223805">
      <w:pPr>
        <w:pStyle w:val="Heading1"/>
        <w:spacing w:after="240"/>
        <w:rPr>
          <w:color w:val="auto"/>
        </w:rPr>
      </w:pPr>
      <w:r w:rsidRPr="00C4418D">
        <w:rPr>
          <w:sz w:val="24"/>
          <w:szCs w:val="24"/>
        </w:rPr>
        <w:br w:type="page"/>
      </w:r>
      <w:bookmarkStart w:id="4" w:name="_Toc525549605"/>
      <w:r w:rsidR="00E856E3" w:rsidRPr="00223805">
        <w:rPr>
          <w:color w:val="auto"/>
        </w:rPr>
        <w:t>Preamble</w:t>
      </w:r>
      <w:bookmarkEnd w:id="4"/>
      <w:r w:rsidR="00B85AF5" w:rsidRPr="00223805">
        <w:rPr>
          <w:color w:val="auto"/>
        </w:rPr>
        <w:t xml:space="preserve"> </w:t>
      </w:r>
    </w:p>
    <w:p w:rsidR="00F1744C" w:rsidRPr="00C4418D" w:rsidRDefault="00F1744C" w:rsidP="00B7075C">
      <w:pPr>
        <w:shd w:val="clear" w:color="auto" w:fill="DBE5F1" w:themeFill="accent1" w:themeFillTint="33"/>
        <w:spacing w:line="360" w:lineRule="auto"/>
        <w:jc w:val="center"/>
        <w:rPr>
          <w:rFonts w:cstheme="minorHAnsi"/>
          <w:b/>
          <w:sz w:val="24"/>
          <w:szCs w:val="24"/>
        </w:rPr>
      </w:pPr>
      <w:r w:rsidRPr="00C4418D">
        <w:rPr>
          <w:rFonts w:cstheme="minorHAnsi"/>
          <w:b/>
          <w:sz w:val="24"/>
          <w:szCs w:val="24"/>
        </w:rPr>
        <w:t>Legal Basis for Preparation of the County Budget Review and Outlook Paper</w:t>
      </w:r>
    </w:p>
    <w:p w:rsidR="00F1744C" w:rsidRPr="00C4418D" w:rsidRDefault="00F1744C" w:rsidP="00B7075C">
      <w:pPr>
        <w:shd w:val="clear" w:color="auto" w:fill="DBE5F1" w:themeFill="accent1" w:themeFillTint="33"/>
        <w:spacing w:line="360" w:lineRule="auto"/>
        <w:rPr>
          <w:rFonts w:cstheme="minorHAnsi"/>
          <w:sz w:val="24"/>
          <w:szCs w:val="24"/>
        </w:rPr>
      </w:pPr>
      <w:r w:rsidRPr="00C4418D">
        <w:rPr>
          <w:rFonts w:cstheme="minorHAnsi"/>
          <w:sz w:val="24"/>
          <w:szCs w:val="24"/>
        </w:rPr>
        <w:t>The Budget Review and Outlook Paper (CBROP) is prepared in accordance with Section 118 of the Public Finance Management (PFM) Act 2012. The law stipulates that:</w:t>
      </w:r>
    </w:p>
    <w:p w:rsidR="00F1744C" w:rsidRPr="00C4418D" w:rsidRDefault="00F1744C" w:rsidP="00B7075C">
      <w:pPr>
        <w:shd w:val="clear" w:color="auto" w:fill="DBE5F1" w:themeFill="accent1" w:themeFillTint="33"/>
        <w:spacing w:line="360" w:lineRule="auto"/>
        <w:rPr>
          <w:rFonts w:cstheme="minorHAnsi"/>
          <w:sz w:val="24"/>
          <w:szCs w:val="24"/>
        </w:rPr>
      </w:pPr>
      <w:r w:rsidRPr="00C4418D">
        <w:rPr>
          <w:rFonts w:cstheme="minorHAnsi"/>
          <w:sz w:val="24"/>
          <w:szCs w:val="24"/>
        </w:rPr>
        <w:t>1) A county Treasury shall;</w:t>
      </w:r>
    </w:p>
    <w:p w:rsidR="00F1744C" w:rsidRPr="00C4418D" w:rsidRDefault="00F1744C" w:rsidP="00B7075C">
      <w:pPr>
        <w:shd w:val="clear" w:color="auto" w:fill="DBE5F1" w:themeFill="accent1" w:themeFillTint="33"/>
        <w:spacing w:line="360" w:lineRule="auto"/>
        <w:rPr>
          <w:rFonts w:cstheme="minorHAnsi"/>
          <w:sz w:val="24"/>
          <w:szCs w:val="24"/>
        </w:rPr>
      </w:pPr>
      <w:r w:rsidRPr="00C4418D">
        <w:rPr>
          <w:rFonts w:cstheme="minorHAnsi"/>
          <w:sz w:val="24"/>
          <w:szCs w:val="24"/>
        </w:rPr>
        <w:t>a. Prepare a CBROP in respect of the County for each year; and</w:t>
      </w:r>
    </w:p>
    <w:p w:rsidR="00F1744C" w:rsidRPr="00C4418D" w:rsidRDefault="00F1744C" w:rsidP="00B7075C">
      <w:pPr>
        <w:shd w:val="clear" w:color="auto" w:fill="DBE5F1" w:themeFill="accent1" w:themeFillTint="33"/>
        <w:spacing w:line="360" w:lineRule="auto"/>
        <w:rPr>
          <w:rFonts w:cstheme="minorHAnsi"/>
          <w:sz w:val="24"/>
          <w:szCs w:val="24"/>
        </w:rPr>
      </w:pPr>
      <w:r w:rsidRPr="00C4418D">
        <w:rPr>
          <w:rFonts w:cstheme="minorHAnsi"/>
          <w:sz w:val="24"/>
          <w:szCs w:val="24"/>
        </w:rPr>
        <w:t>b. Submit the paper to the County Executive Committee (CEC) by 30th September of that year.</w:t>
      </w:r>
    </w:p>
    <w:p w:rsidR="00F1744C" w:rsidRPr="00C4418D" w:rsidRDefault="00F1744C" w:rsidP="00B7075C">
      <w:pPr>
        <w:shd w:val="clear" w:color="auto" w:fill="DBE5F1" w:themeFill="accent1" w:themeFillTint="33"/>
        <w:spacing w:line="360" w:lineRule="auto"/>
        <w:rPr>
          <w:rFonts w:cstheme="minorHAnsi"/>
          <w:sz w:val="24"/>
          <w:szCs w:val="24"/>
        </w:rPr>
      </w:pPr>
      <w:r w:rsidRPr="00C4418D">
        <w:rPr>
          <w:rFonts w:cstheme="minorHAnsi"/>
          <w:sz w:val="24"/>
          <w:szCs w:val="24"/>
        </w:rPr>
        <w:t>2) In preparing its CBROP, the County Treasury shall specify;</w:t>
      </w:r>
    </w:p>
    <w:p w:rsidR="00F1744C" w:rsidRPr="00C4418D" w:rsidRDefault="00F1744C" w:rsidP="00B7075C">
      <w:pPr>
        <w:shd w:val="clear" w:color="auto" w:fill="DBE5F1" w:themeFill="accent1" w:themeFillTint="33"/>
        <w:spacing w:line="360" w:lineRule="auto"/>
        <w:rPr>
          <w:rFonts w:cstheme="minorHAnsi"/>
          <w:sz w:val="24"/>
          <w:szCs w:val="24"/>
        </w:rPr>
      </w:pPr>
      <w:r w:rsidRPr="00C4418D">
        <w:rPr>
          <w:rFonts w:cstheme="minorHAnsi"/>
          <w:sz w:val="24"/>
          <w:szCs w:val="24"/>
        </w:rPr>
        <w:t>a. The details of the actual fiscal performance in the previous year compared to the budget appropriation for that year</w:t>
      </w:r>
    </w:p>
    <w:p w:rsidR="00F1744C" w:rsidRPr="00C4418D" w:rsidRDefault="00F1744C" w:rsidP="00B7075C">
      <w:pPr>
        <w:shd w:val="clear" w:color="auto" w:fill="DBE5F1" w:themeFill="accent1" w:themeFillTint="33"/>
        <w:spacing w:line="360" w:lineRule="auto"/>
        <w:rPr>
          <w:rFonts w:cstheme="minorHAnsi"/>
          <w:sz w:val="24"/>
          <w:szCs w:val="24"/>
        </w:rPr>
      </w:pPr>
      <w:r w:rsidRPr="00C4418D">
        <w:rPr>
          <w:rFonts w:cstheme="minorHAnsi"/>
          <w:sz w:val="24"/>
          <w:szCs w:val="24"/>
        </w:rPr>
        <w:t>b. The updated economic and financial forecasts wit</w:t>
      </w:r>
      <w:r w:rsidR="00C543FF" w:rsidRPr="00C4418D">
        <w:rPr>
          <w:rFonts w:cstheme="minorHAnsi"/>
          <w:sz w:val="24"/>
          <w:szCs w:val="24"/>
        </w:rPr>
        <w:t>h sufficient information to show</w:t>
      </w:r>
      <w:r w:rsidRPr="00C4418D">
        <w:rPr>
          <w:rFonts w:cstheme="minorHAnsi"/>
          <w:sz w:val="24"/>
          <w:szCs w:val="24"/>
        </w:rPr>
        <w:t xml:space="preserve"> changes from the forecasts in the most recent County Fiscal Strategy Paper (CFSP)</w:t>
      </w:r>
    </w:p>
    <w:p w:rsidR="00F1744C" w:rsidRPr="00C4418D" w:rsidRDefault="00F1744C" w:rsidP="00B7075C">
      <w:pPr>
        <w:shd w:val="clear" w:color="auto" w:fill="DBE5F1" w:themeFill="accent1" w:themeFillTint="33"/>
        <w:spacing w:line="360" w:lineRule="auto"/>
        <w:rPr>
          <w:rFonts w:cstheme="minorHAnsi"/>
          <w:sz w:val="24"/>
          <w:szCs w:val="24"/>
        </w:rPr>
      </w:pPr>
      <w:r w:rsidRPr="00C4418D">
        <w:rPr>
          <w:rFonts w:cstheme="minorHAnsi"/>
          <w:sz w:val="24"/>
          <w:szCs w:val="24"/>
        </w:rPr>
        <w:t>c. Information on:</w:t>
      </w:r>
    </w:p>
    <w:p w:rsidR="00F1744C" w:rsidRPr="00C4418D" w:rsidRDefault="00F1744C" w:rsidP="00B7075C">
      <w:pPr>
        <w:pStyle w:val="ListParagraph"/>
        <w:numPr>
          <w:ilvl w:val="0"/>
          <w:numId w:val="4"/>
        </w:numPr>
        <w:shd w:val="clear" w:color="auto" w:fill="DBE5F1" w:themeFill="accent1" w:themeFillTint="33"/>
        <w:spacing w:line="360" w:lineRule="auto"/>
        <w:ind w:left="360"/>
        <w:rPr>
          <w:rFonts w:cstheme="minorHAnsi"/>
          <w:sz w:val="24"/>
          <w:szCs w:val="24"/>
        </w:rPr>
      </w:pPr>
      <w:r w:rsidRPr="00C4418D">
        <w:rPr>
          <w:rFonts w:cstheme="minorHAnsi"/>
          <w:sz w:val="24"/>
          <w:szCs w:val="24"/>
        </w:rPr>
        <w:t>Any changes in the forecasts compared with the CFSP; or</w:t>
      </w:r>
    </w:p>
    <w:p w:rsidR="00F1744C" w:rsidRPr="00C4418D" w:rsidRDefault="00F1744C" w:rsidP="00B7075C">
      <w:pPr>
        <w:pStyle w:val="ListParagraph"/>
        <w:numPr>
          <w:ilvl w:val="0"/>
          <w:numId w:val="4"/>
        </w:numPr>
        <w:shd w:val="clear" w:color="auto" w:fill="DBE5F1" w:themeFill="accent1" w:themeFillTint="33"/>
        <w:spacing w:line="360" w:lineRule="auto"/>
        <w:ind w:left="360"/>
        <w:rPr>
          <w:rFonts w:cstheme="minorHAnsi"/>
          <w:sz w:val="24"/>
          <w:szCs w:val="24"/>
        </w:rPr>
      </w:pPr>
      <w:r w:rsidRPr="00C4418D">
        <w:rPr>
          <w:rFonts w:cstheme="minorHAnsi"/>
          <w:sz w:val="24"/>
          <w:szCs w:val="24"/>
        </w:rPr>
        <w:t>How actual financial performance for the previous financial year may have affected compliance with the fiscal responsibility principles, or financial objectives in the CFSP for that financial year; and</w:t>
      </w:r>
    </w:p>
    <w:p w:rsidR="00F1744C" w:rsidRPr="00C4418D" w:rsidRDefault="00F1744C" w:rsidP="00B7075C">
      <w:pPr>
        <w:shd w:val="clear" w:color="auto" w:fill="DBE5F1" w:themeFill="accent1" w:themeFillTint="33"/>
        <w:spacing w:line="360" w:lineRule="auto"/>
        <w:rPr>
          <w:rFonts w:cstheme="minorHAnsi"/>
          <w:sz w:val="24"/>
          <w:szCs w:val="24"/>
        </w:rPr>
      </w:pPr>
      <w:r w:rsidRPr="00C4418D">
        <w:rPr>
          <w:rFonts w:cstheme="minorHAnsi"/>
          <w:sz w:val="24"/>
          <w:szCs w:val="24"/>
        </w:rPr>
        <w:t>d. Reasons for any deviation from the financial objectives in the CFSP together with proposals to address the deviation and the time estimated for doing so.</w:t>
      </w:r>
    </w:p>
    <w:p w:rsidR="00F1744C" w:rsidRPr="00C4418D" w:rsidRDefault="00F1744C" w:rsidP="00B7075C">
      <w:pPr>
        <w:shd w:val="clear" w:color="auto" w:fill="DBE5F1" w:themeFill="accent1" w:themeFillTint="33"/>
        <w:spacing w:line="360" w:lineRule="auto"/>
        <w:rPr>
          <w:rFonts w:cstheme="minorHAnsi"/>
          <w:sz w:val="24"/>
          <w:szCs w:val="24"/>
        </w:rPr>
      </w:pPr>
      <w:r w:rsidRPr="00C4418D">
        <w:rPr>
          <w:rFonts w:cstheme="minorHAnsi"/>
          <w:sz w:val="24"/>
          <w:szCs w:val="24"/>
        </w:rPr>
        <w:t>3) The CEC shall consider the CBROP with a view to approving it, with or without amendments, within fourteen days after its submission.</w:t>
      </w:r>
    </w:p>
    <w:p w:rsidR="00F1744C" w:rsidRPr="00C4418D" w:rsidRDefault="00F1744C" w:rsidP="00B7075C">
      <w:pPr>
        <w:shd w:val="clear" w:color="auto" w:fill="DBE5F1" w:themeFill="accent1" w:themeFillTint="33"/>
        <w:spacing w:line="360" w:lineRule="auto"/>
        <w:rPr>
          <w:rFonts w:cstheme="minorHAnsi"/>
          <w:sz w:val="24"/>
          <w:szCs w:val="24"/>
        </w:rPr>
      </w:pPr>
      <w:r w:rsidRPr="00C4418D">
        <w:rPr>
          <w:rFonts w:cstheme="minorHAnsi"/>
          <w:sz w:val="24"/>
          <w:szCs w:val="24"/>
        </w:rPr>
        <w:t>4) Not later than seven days after the CBROP is approved by the CEC, the County Treasury shall:</w:t>
      </w:r>
    </w:p>
    <w:p w:rsidR="00F1744C" w:rsidRPr="00C4418D" w:rsidRDefault="00F1744C" w:rsidP="00B7075C">
      <w:pPr>
        <w:shd w:val="clear" w:color="auto" w:fill="DBE5F1" w:themeFill="accent1" w:themeFillTint="33"/>
        <w:spacing w:line="360" w:lineRule="auto"/>
        <w:rPr>
          <w:rFonts w:cstheme="minorHAnsi"/>
          <w:sz w:val="24"/>
          <w:szCs w:val="24"/>
        </w:rPr>
      </w:pPr>
      <w:r w:rsidRPr="00C4418D">
        <w:rPr>
          <w:rFonts w:cstheme="minorHAnsi"/>
          <w:sz w:val="24"/>
          <w:szCs w:val="24"/>
        </w:rPr>
        <w:t>a. Arrange for the paper to be laid before the County Assembly; and</w:t>
      </w:r>
    </w:p>
    <w:p w:rsidR="00F1744C" w:rsidRPr="00C4418D" w:rsidRDefault="00F1744C" w:rsidP="00B7075C">
      <w:pPr>
        <w:shd w:val="clear" w:color="auto" w:fill="DBE5F1" w:themeFill="accent1" w:themeFillTint="33"/>
        <w:spacing w:line="360" w:lineRule="auto"/>
        <w:rPr>
          <w:rFonts w:cstheme="minorHAnsi"/>
          <w:sz w:val="24"/>
          <w:szCs w:val="24"/>
        </w:rPr>
      </w:pPr>
      <w:r w:rsidRPr="00C4418D">
        <w:rPr>
          <w:rFonts w:cstheme="minorHAnsi"/>
          <w:sz w:val="24"/>
          <w:szCs w:val="24"/>
        </w:rPr>
        <w:t xml:space="preserve">b. As soon as practicable after having done so, publish and </w:t>
      </w:r>
      <w:r w:rsidR="00D91EA4" w:rsidRPr="00C4418D">
        <w:rPr>
          <w:rFonts w:cstheme="minorHAnsi"/>
          <w:sz w:val="24"/>
          <w:szCs w:val="24"/>
        </w:rPr>
        <w:t>publicize</w:t>
      </w:r>
      <w:r w:rsidRPr="00C4418D">
        <w:rPr>
          <w:rFonts w:cstheme="minorHAnsi"/>
          <w:sz w:val="24"/>
          <w:szCs w:val="24"/>
        </w:rPr>
        <w:t xml:space="preserve"> the paper.</w:t>
      </w:r>
    </w:p>
    <w:p w:rsidR="00F1744C" w:rsidRPr="00C4418D" w:rsidRDefault="00F1744C" w:rsidP="00C72A7A">
      <w:pPr>
        <w:shd w:val="clear" w:color="auto" w:fill="DBE5F1" w:themeFill="accent1" w:themeFillTint="33"/>
        <w:spacing w:before="240" w:line="360" w:lineRule="auto"/>
        <w:jc w:val="center"/>
        <w:rPr>
          <w:rFonts w:cstheme="minorHAnsi"/>
          <w:b/>
          <w:sz w:val="24"/>
          <w:szCs w:val="24"/>
        </w:rPr>
      </w:pPr>
      <w:r w:rsidRPr="00C4418D">
        <w:rPr>
          <w:rFonts w:cstheme="minorHAnsi"/>
          <w:b/>
          <w:sz w:val="24"/>
          <w:szCs w:val="24"/>
        </w:rPr>
        <w:t>Fiscal Responsibility Principles in the Public Financial Management Law</w:t>
      </w:r>
    </w:p>
    <w:p w:rsidR="00F1744C" w:rsidRPr="00C4418D" w:rsidRDefault="00F1744C" w:rsidP="00B7075C">
      <w:pPr>
        <w:shd w:val="clear" w:color="auto" w:fill="DBE5F1" w:themeFill="accent1" w:themeFillTint="33"/>
        <w:spacing w:after="0" w:line="360" w:lineRule="auto"/>
        <w:rPr>
          <w:rFonts w:cstheme="minorHAnsi"/>
          <w:sz w:val="24"/>
          <w:szCs w:val="24"/>
        </w:rPr>
      </w:pPr>
      <w:r w:rsidRPr="00C4418D">
        <w:rPr>
          <w:rFonts w:cstheme="minorHAnsi"/>
          <w:sz w:val="24"/>
          <w:szCs w:val="24"/>
        </w:rPr>
        <w:t>In line with the Constitution of Kenya 2010, the PFM Act, 2012 sets out the fiscal responsibility principles to ensure prudency and transparency in the management of public resources. Section 107 of the PFM Act, 2012 states that:</w:t>
      </w:r>
      <w:r w:rsidR="009A5850" w:rsidRPr="00C4418D">
        <w:rPr>
          <w:rFonts w:cstheme="minorHAnsi"/>
          <w:sz w:val="24"/>
          <w:szCs w:val="24"/>
        </w:rPr>
        <w:t xml:space="preserve"> </w:t>
      </w:r>
      <w:r w:rsidRPr="00C4418D">
        <w:rPr>
          <w:rFonts w:cstheme="minorHAnsi"/>
          <w:sz w:val="24"/>
          <w:szCs w:val="24"/>
        </w:rPr>
        <w:t>The County Government’s recurrent expenditure shall not exceed the County Government’s total revenue;</w:t>
      </w:r>
    </w:p>
    <w:p w:rsidR="00F1744C" w:rsidRPr="00C4418D" w:rsidRDefault="00F1744C" w:rsidP="00B7075C">
      <w:pPr>
        <w:pStyle w:val="ListParagraph"/>
        <w:numPr>
          <w:ilvl w:val="0"/>
          <w:numId w:val="2"/>
        </w:numPr>
        <w:shd w:val="clear" w:color="auto" w:fill="DBE5F1" w:themeFill="accent1" w:themeFillTint="33"/>
        <w:spacing w:line="360" w:lineRule="auto"/>
        <w:ind w:left="270" w:hanging="270"/>
        <w:rPr>
          <w:rFonts w:cstheme="minorHAnsi"/>
          <w:sz w:val="24"/>
          <w:szCs w:val="24"/>
        </w:rPr>
      </w:pPr>
      <w:r w:rsidRPr="00C4418D">
        <w:rPr>
          <w:rFonts w:cstheme="minorHAnsi"/>
          <w:sz w:val="24"/>
          <w:szCs w:val="24"/>
        </w:rPr>
        <w:t>Over the medium term, a minimum of thirty (30) per cent of the County Government’s budget shall be allocated to the development expenditure;</w:t>
      </w:r>
    </w:p>
    <w:p w:rsidR="00F1744C" w:rsidRPr="00C4418D" w:rsidRDefault="00F1744C" w:rsidP="00B7075C">
      <w:pPr>
        <w:pStyle w:val="ListParagraph"/>
        <w:numPr>
          <w:ilvl w:val="0"/>
          <w:numId w:val="2"/>
        </w:numPr>
        <w:shd w:val="clear" w:color="auto" w:fill="DBE5F1" w:themeFill="accent1" w:themeFillTint="33"/>
        <w:spacing w:line="360" w:lineRule="auto"/>
        <w:ind w:left="270" w:hanging="270"/>
        <w:rPr>
          <w:rFonts w:cstheme="minorHAnsi"/>
          <w:sz w:val="24"/>
          <w:szCs w:val="24"/>
        </w:rPr>
      </w:pPr>
      <w:r w:rsidRPr="00C4418D">
        <w:rPr>
          <w:rFonts w:cstheme="minorHAnsi"/>
          <w:sz w:val="24"/>
          <w:szCs w:val="24"/>
        </w:rPr>
        <w:t>The county Government’s expenditure on wages shall not exceed a percentage of the County Government’s total revenue as prescribed by the County Executive Member for Finance in regulations and approved by the County Assembly;</w:t>
      </w:r>
    </w:p>
    <w:p w:rsidR="00F1744C" w:rsidRPr="00C4418D" w:rsidRDefault="00F1744C" w:rsidP="00B7075C">
      <w:pPr>
        <w:pStyle w:val="ListParagraph"/>
        <w:numPr>
          <w:ilvl w:val="0"/>
          <w:numId w:val="2"/>
        </w:numPr>
        <w:shd w:val="clear" w:color="auto" w:fill="DBE5F1" w:themeFill="accent1" w:themeFillTint="33"/>
        <w:spacing w:line="360" w:lineRule="auto"/>
        <w:ind w:left="270" w:hanging="270"/>
        <w:rPr>
          <w:rFonts w:cstheme="minorHAnsi"/>
          <w:sz w:val="24"/>
          <w:szCs w:val="24"/>
        </w:rPr>
      </w:pPr>
      <w:r w:rsidRPr="00C4418D">
        <w:rPr>
          <w:rFonts w:cstheme="minorHAnsi"/>
          <w:sz w:val="24"/>
          <w:szCs w:val="24"/>
        </w:rPr>
        <w:t>Over the medium term, the Government’s borrowing shall be used only for purpose of financing development expenditure and not for recurrent expenditure;</w:t>
      </w:r>
    </w:p>
    <w:p w:rsidR="00F1744C" w:rsidRPr="00C4418D" w:rsidRDefault="00F1744C" w:rsidP="00B7075C">
      <w:pPr>
        <w:pStyle w:val="ListParagraph"/>
        <w:numPr>
          <w:ilvl w:val="0"/>
          <w:numId w:val="2"/>
        </w:numPr>
        <w:shd w:val="clear" w:color="auto" w:fill="DBE5F1" w:themeFill="accent1" w:themeFillTint="33"/>
        <w:spacing w:line="360" w:lineRule="auto"/>
        <w:ind w:left="270" w:hanging="270"/>
        <w:rPr>
          <w:rFonts w:cstheme="minorHAnsi"/>
          <w:sz w:val="24"/>
          <w:szCs w:val="24"/>
        </w:rPr>
      </w:pPr>
      <w:r w:rsidRPr="00C4418D">
        <w:rPr>
          <w:rFonts w:cstheme="minorHAnsi"/>
          <w:sz w:val="24"/>
          <w:szCs w:val="24"/>
        </w:rPr>
        <w:t>The County debt shall be maintained at a sustainable level as approved by County Assembly;</w:t>
      </w:r>
    </w:p>
    <w:p w:rsidR="00F1744C" w:rsidRPr="00C4418D" w:rsidRDefault="00F1744C" w:rsidP="00B7075C">
      <w:pPr>
        <w:pStyle w:val="ListParagraph"/>
        <w:numPr>
          <w:ilvl w:val="0"/>
          <w:numId w:val="2"/>
        </w:numPr>
        <w:shd w:val="clear" w:color="auto" w:fill="DBE5F1" w:themeFill="accent1" w:themeFillTint="33"/>
        <w:spacing w:line="360" w:lineRule="auto"/>
        <w:ind w:left="270" w:hanging="270"/>
        <w:rPr>
          <w:rFonts w:cstheme="minorHAnsi"/>
          <w:sz w:val="24"/>
          <w:szCs w:val="24"/>
        </w:rPr>
      </w:pPr>
      <w:r w:rsidRPr="00C4418D">
        <w:rPr>
          <w:rFonts w:cstheme="minorHAnsi"/>
          <w:sz w:val="24"/>
          <w:szCs w:val="24"/>
        </w:rPr>
        <w:t>The fiscal risks shall be managed prudently; and</w:t>
      </w:r>
    </w:p>
    <w:p w:rsidR="00F54F10" w:rsidRPr="00C4418D" w:rsidRDefault="00F1744C" w:rsidP="00F1744C">
      <w:pPr>
        <w:pStyle w:val="ListParagraph"/>
        <w:numPr>
          <w:ilvl w:val="0"/>
          <w:numId w:val="2"/>
        </w:numPr>
        <w:shd w:val="clear" w:color="auto" w:fill="DBE5F1" w:themeFill="accent1" w:themeFillTint="33"/>
        <w:spacing w:line="360" w:lineRule="auto"/>
        <w:ind w:left="270" w:hanging="270"/>
        <w:rPr>
          <w:rFonts w:cstheme="minorHAnsi"/>
          <w:sz w:val="24"/>
          <w:szCs w:val="24"/>
        </w:rPr>
        <w:sectPr w:rsidR="00F54F10" w:rsidRPr="00C4418D" w:rsidSect="00B9180F">
          <w:pgSz w:w="11907" w:h="16839" w:code="9"/>
          <w:pgMar w:top="1440" w:right="927" w:bottom="1440" w:left="990" w:header="720" w:footer="720" w:gutter="0"/>
          <w:pgNumType w:fmt="lowerRoman" w:start="1"/>
          <w:cols w:space="720"/>
          <w:docGrid w:linePitch="360"/>
        </w:sectPr>
      </w:pPr>
      <w:r w:rsidRPr="00C4418D">
        <w:rPr>
          <w:rFonts w:cstheme="minorHAnsi"/>
          <w:sz w:val="24"/>
          <w:szCs w:val="24"/>
        </w:rPr>
        <w:t>A reasonable degree of predictability with respect to the level of tax rates and tax bases shall be maintained, taking into account any tax reforms that may be made in the future.</w:t>
      </w:r>
    </w:p>
    <w:p w:rsidR="00F1744C" w:rsidRPr="00223805" w:rsidRDefault="00F1744C" w:rsidP="001154EB">
      <w:pPr>
        <w:pStyle w:val="Heading1"/>
        <w:numPr>
          <w:ilvl w:val="0"/>
          <w:numId w:val="43"/>
        </w:numPr>
        <w:pBdr>
          <w:bottom w:val="single" w:sz="4" w:space="1" w:color="auto"/>
        </w:pBdr>
        <w:spacing w:after="240"/>
        <w:ind w:hanging="720"/>
        <w:rPr>
          <w:color w:val="auto"/>
        </w:rPr>
      </w:pPr>
      <w:bookmarkStart w:id="5" w:name="_Toc525549606"/>
      <w:r w:rsidRPr="00223805">
        <w:rPr>
          <w:color w:val="auto"/>
        </w:rPr>
        <w:t>INTRODUCTION</w:t>
      </w:r>
      <w:bookmarkEnd w:id="5"/>
    </w:p>
    <w:p w:rsidR="00420A47" w:rsidRPr="008E58C0" w:rsidRDefault="00420A47" w:rsidP="000201D9">
      <w:pPr>
        <w:spacing w:line="360" w:lineRule="auto"/>
        <w:jc w:val="both"/>
        <w:rPr>
          <w:rFonts w:cstheme="minorHAnsi"/>
          <w:sz w:val="24"/>
          <w:szCs w:val="24"/>
        </w:rPr>
      </w:pPr>
      <w:r w:rsidRPr="008E58C0">
        <w:rPr>
          <w:rFonts w:cstheme="minorHAnsi"/>
          <w:sz w:val="24"/>
          <w:szCs w:val="24"/>
        </w:rPr>
        <w:t>The County Budget Review and Outlook Paper (CBROP) is prepared in line section 118 of the Public Finance Management (PFM) Act, 2012. The paper reviews the fiscal performance of the co</w:t>
      </w:r>
      <w:r w:rsidR="00962989">
        <w:rPr>
          <w:rFonts w:cstheme="minorHAnsi"/>
          <w:sz w:val="24"/>
          <w:szCs w:val="24"/>
        </w:rPr>
        <w:t xml:space="preserve">unty for the financial year </w:t>
      </w:r>
      <w:r w:rsidR="00005E88">
        <w:rPr>
          <w:rFonts w:cstheme="minorHAnsi"/>
          <w:sz w:val="24"/>
          <w:szCs w:val="24"/>
        </w:rPr>
        <w:t>2021/22</w:t>
      </w:r>
      <w:r w:rsidRPr="008E58C0">
        <w:rPr>
          <w:rFonts w:cstheme="minorHAnsi"/>
          <w:sz w:val="24"/>
          <w:szCs w:val="24"/>
        </w:rPr>
        <w:t>; the updated macro-economic and financial forecasts; and deviations from the approved County F</w:t>
      </w:r>
      <w:r w:rsidR="00005E88">
        <w:rPr>
          <w:rFonts w:cstheme="minorHAnsi"/>
          <w:sz w:val="24"/>
          <w:szCs w:val="24"/>
        </w:rPr>
        <w:t>iscal Strategy Paper (CFSP) 2021</w:t>
      </w:r>
      <w:r w:rsidRPr="008E58C0">
        <w:rPr>
          <w:rFonts w:cstheme="minorHAnsi"/>
          <w:sz w:val="24"/>
          <w:szCs w:val="24"/>
        </w:rPr>
        <w:t xml:space="preserve"> and</w:t>
      </w:r>
      <w:r w:rsidR="00A84177" w:rsidRPr="008E58C0">
        <w:rPr>
          <w:rFonts w:cstheme="minorHAnsi"/>
          <w:sz w:val="24"/>
          <w:szCs w:val="24"/>
        </w:rPr>
        <w:t xml:space="preserve"> provides the background and</w:t>
      </w:r>
      <w:r w:rsidRPr="008E58C0">
        <w:rPr>
          <w:rFonts w:cstheme="minorHAnsi"/>
          <w:sz w:val="24"/>
          <w:szCs w:val="24"/>
        </w:rPr>
        <w:t xml:space="preserve"> reasons for such deviations.</w:t>
      </w:r>
    </w:p>
    <w:p w:rsidR="00F1744C" w:rsidRPr="0034609F" w:rsidRDefault="00F1744C" w:rsidP="0034609F">
      <w:pPr>
        <w:pStyle w:val="Heading1"/>
        <w:numPr>
          <w:ilvl w:val="1"/>
          <w:numId w:val="44"/>
        </w:numPr>
        <w:spacing w:before="240" w:after="240" w:line="240" w:lineRule="auto"/>
        <w:ind w:left="360" w:hanging="360"/>
        <w:rPr>
          <w:color w:val="auto"/>
        </w:rPr>
      </w:pPr>
      <w:bookmarkStart w:id="6" w:name="_Toc525549607"/>
      <w:r w:rsidRPr="0034609F">
        <w:rPr>
          <w:color w:val="auto"/>
        </w:rPr>
        <w:t>Objective of CBROP</w:t>
      </w:r>
      <w:bookmarkEnd w:id="6"/>
    </w:p>
    <w:p w:rsidR="00EC5EB8" w:rsidRPr="008E58C0" w:rsidRDefault="00F1744C" w:rsidP="00EC5EB8">
      <w:pPr>
        <w:spacing w:line="360" w:lineRule="auto"/>
        <w:jc w:val="both"/>
        <w:rPr>
          <w:rFonts w:cstheme="minorHAnsi"/>
          <w:sz w:val="24"/>
          <w:szCs w:val="24"/>
        </w:rPr>
      </w:pPr>
      <w:r w:rsidRPr="008E58C0">
        <w:rPr>
          <w:rFonts w:cstheme="minorHAnsi"/>
          <w:sz w:val="24"/>
          <w:szCs w:val="24"/>
        </w:rPr>
        <w:t>The objective of CBROP is to provide a review of the previous fiscal performance and how this impacts the financial objectives and fiscal responsibility principles to be set out in the CFSP. This together with macroeconomic outlook provides a basis for revision of the current budget in the context of the broa</w:t>
      </w:r>
      <w:r w:rsidR="00AC7B7B" w:rsidRPr="008E58C0">
        <w:rPr>
          <w:rFonts w:cstheme="minorHAnsi"/>
          <w:sz w:val="24"/>
          <w:szCs w:val="24"/>
        </w:rPr>
        <w:t>d fiscal parameters guiding the next budget and the M</w:t>
      </w:r>
      <w:r w:rsidRPr="008E58C0">
        <w:rPr>
          <w:rFonts w:cstheme="minorHAnsi"/>
          <w:sz w:val="24"/>
          <w:szCs w:val="24"/>
        </w:rPr>
        <w:t xml:space="preserve">edium </w:t>
      </w:r>
      <w:r w:rsidR="00AC7B7B" w:rsidRPr="008E58C0">
        <w:rPr>
          <w:rFonts w:cstheme="minorHAnsi"/>
          <w:sz w:val="24"/>
          <w:szCs w:val="24"/>
        </w:rPr>
        <w:t>T</w:t>
      </w:r>
      <w:r w:rsidRPr="008E58C0">
        <w:rPr>
          <w:rFonts w:cstheme="minorHAnsi"/>
          <w:sz w:val="24"/>
          <w:szCs w:val="24"/>
        </w:rPr>
        <w:t>erm</w:t>
      </w:r>
      <w:r w:rsidR="00AC7B7B" w:rsidRPr="008E58C0">
        <w:rPr>
          <w:rFonts w:cstheme="minorHAnsi"/>
          <w:sz w:val="24"/>
          <w:szCs w:val="24"/>
        </w:rPr>
        <w:t xml:space="preserve"> Expenditure Framework (MTEF)</w:t>
      </w:r>
      <w:r w:rsidRPr="008E58C0">
        <w:rPr>
          <w:rFonts w:cstheme="minorHAnsi"/>
          <w:sz w:val="24"/>
          <w:szCs w:val="24"/>
        </w:rPr>
        <w:t xml:space="preserve">. </w:t>
      </w:r>
      <w:r w:rsidR="00AC7B7B" w:rsidRPr="008E58C0">
        <w:rPr>
          <w:rFonts w:cstheme="minorHAnsi"/>
          <w:sz w:val="24"/>
          <w:szCs w:val="24"/>
        </w:rPr>
        <w:t xml:space="preserve">The </w:t>
      </w:r>
      <w:r w:rsidRPr="008E58C0">
        <w:rPr>
          <w:rFonts w:cstheme="minorHAnsi"/>
          <w:sz w:val="24"/>
          <w:szCs w:val="24"/>
        </w:rPr>
        <w:t>Details of the fiscal framework and the medium term policy priorities will be firmed in the CFSP.</w:t>
      </w:r>
      <w:r w:rsidR="00EC5EB8" w:rsidRPr="008E58C0">
        <w:rPr>
          <w:rFonts w:cstheme="minorHAnsi"/>
          <w:sz w:val="24"/>
          <w:szCs w:val="24"/>
        </w:rPr>
        <w:t xml:space="preserve"> </w:t>
      </w:r>
    </w:p>
    <w:p w:rsidR="00420A47" w:rsidRPr="008E58C0" w:rsidRDefault="00005E88" w:rsidP="00EC5EB8">
      <w:pPr>
        <w:spacing w:line="360" w:lineRule="auto"/>
        <w:jc w:val="both"/>
        <w:rPr>
          <w:rFonts w:cstheme="minorHAnsi"/>
          <w:sz w:val="24"/>
          <w:szCs w:val="24"/>
        </w:rPr>
      </w:pPr>
      <w:r w:rsidRPr="008E58C0">
        <w:rPr>
          <w:rFonts w:cstheme="minorHAnsi"/>
          <w:sz w:val="24"/>
          <w:szCs w:val="24"/>
        </w:rPr>
        <w:t>Specifically,</w:t>
      </w:r>
      <w:r w:rsidR="00420A47" w:rsidRPr="008E58C0">
        <w:rPr>
          <w:rFonts w:cstheme="minorHAnsi"/>
          <w:sz w:val="24"/>
          <w:szCs w:val="24"/>
        </w:rPr>
        <w:t xml:space="preserve"> the CBROP provides:</w:t>
      </w:r>
    </w:p>
    <w:p w:rsidR="00420A47" w:rsidRPr="008E58C0" w:rsidRDefault="00420A47" w:rsidP="00420A47">
      <w:pPr>
        <w:widowControl w:val="0"/>
        <w:numPr>
          <w:ilvl w:val="0"/>
          <w:numId w:val="37"/>
        </w:numPr>
        <w:kinsoku w:val="0"/>
        <w:overflowPunct w:val="0"/>
        <w:spacing w:before="201" w:after="0" w:line="413" w:lineRule="exact"/>
        <w:jc w:val="both"/>
        <w:textAlignment w:val="baseline"/>
        <w:rPr>
          <w:rFonts w:cstheme="minorHAnsi"/>
          <w:sz w:val="24"/>
          <w:szCs w:val="24"/>
        </w:rPr>
      </w:pPr>
      <w:r w:rsidRPr="008E58C0">
        <w:rPr>
          <w:rFonts w:cstheme="minorHAnsi"/>
          <w:sz w:val="24"/>
          <w:szCs w:val="24"/>
        </w:rPr>
        <w:t>Updated economic and financial forecasts in relation to the changes from the forecasts in the most recent County Fiscal Strategy Paper (CFSP);</w:t>
      </w:r>
    </w:p>
    <w:p w:rsidR="00420A47" w:rsidRPr="008E58C0" w:rsidRDefault="00420A47" w:rsidP="00420A47">
      <w:pPr>
        <w:widowControl w:val="0"/>
        <w:numPr>
          <w:ilvl w:val="0"/>
          <w:numId w:val="37"/>
        </w:numPr>
        <w:kinsoku w:val="0"/>
        <w:overflowPunct w:val="0"/>
        <w:spacing w:before="4" w:after="0" w:line="413" w:lineRule="exact"/>
        <w:jc w:val="both"/>
        <w:textAlignment w:val="baseline"/>
        <w:rPr>
          <w:rFonts w:cstheme="minorHAnsi"/>
          <w:sz w:val="24"/>
          <w:szCs w:val="24"/>
        </w:rPr>
      </w:pPr>
      <w:r w:rsidRPr="008E58C0">
        <w:rPr>
          <w:rFonts w:cstheme="minorHAnsi"/>
          <w:sz w:val="24"/>
          <w:szCs w:val="24"/>
        </w:rPr>
        <w:t>Details of the actual fiscal performance in the previous year compared to the budget appropriation for that particular year;</w:t>
      </w:r>
    </w:p>
    <w:p w:rsidR="00420A47" w:rsidRPr="008E58C0" w:rsidRDefault="00420A47" w:rsidP="00420A47">
      <w:pPr>
        <w:widowControl w:val="0"/>
        <w:numPr>
          <w:ilvl w:val="0"/>
          <w:numId w:val="37"/>
        </w:numPr>
        <w:kinsoku w:val="0"/>
        <w:overflowPunct w:val="0"/>
        <w:spacing w:before="142" w:after="0" w:line="271" w:lineRule="exact"/>
        <w:jc w:val="both"/>
        <w:textAlignment w:val="baseline"/>
        <w:rPr>
          <w:rFonts w:cstheme="minorHAnsi"/>
          <w:sz w:val="24"/>
          <w:szCs w:val="24"/>
        </w:rPr>
      </w:pPr>
      <w:r w:rsidRPr="008E58C0">
        <w:rPr>
          <w:rFonts w:cstheme="minorHAnsi"/>
          <w:sz w:val="24"/>
          <w:szCs w:val="24"/>
        </w:rPr>
        <w:t>Any changes in the forecasts compared with the CFSP;</w:t>
      </w:r>
    </w:p>
    <w:p w:rsidR="00420A47" w:rsidRPr="008E58C0" w:rsidRDefault="00420A47" w:rsidP="00420A47">
      <w:pPr>
        <w:widowControl w:val="0"/>
        <w:numPr>
          <w:ilvl w:val="0"/>
          <w:numId w:val="37"/>
        </w:numPr>
        <w:kinsoku w:val="0"/>
        <w:overflowPunct w:val="0"/>
        <w:spacing w:before="4" w:after="0" w:line="413" w:lineRule="exact"/>
        <w:jc w:val="both"/>
        <w:textAlignment w:val="baseline"/>
        <w:rPr>
          <w:rFonts w:cstheme="minorHAnsi"/>
          <w:sz w:val="24"/>
          <w:szCs w:val="24"/>
        </w:rPr>
      </w:pPr>
      <w:r w:rsidRPr="008E58C0">
        <w:rPr>
          <w:rFonts w:cstheme="minorHAnsi"/>
          <w:sz w:val="24"/>
          <w:szCs w:val="24"/>
        </w:rPr>
        <w:t>Indication on how actual financial performance for the previous financial year may have affected compliance with the fiscal responsibility principles, or the financial objectives in the CFSP for that financial year; and</w:t>
      </w:r>
    </w:p>
    <w:p w:rsidR="00420A47" w:rsidRPr="008E58C0" w:rsidRDefault="00420A47" w:rsidP="00420A47">
      <w:pPr>
        <w:widowControl w:val="0"/>
        <w:numPr>
          <w:ilvl w:val="0"/>
          <w:numId w:val="37"/>
        </w:numPr>
        <w:kinsoku w:val="0"/>
        <w:overflowPunct w:val="0"/>
        <w:spacing w:after="0" w:line="413" w:lineRule="exact"/>
        <w:jc w:val="both"/>
        <w:textAlignment w:val="baseline"/>
        <w:rPr>
          <w:rFonts w:cstheme="minorHAnsi"/>
          <w:sz w:val="24"/>
          <w:szCs w:val="24"/>
        </w:rPr>
      </w:pPr>
      <w:r w:rsidRPr="008E58C0">
        <w:rPr>
          <w:rFonts w:cstheme="minorHAnsi"/>
          <w:sz w:val="24"/>
          <w:szCs w:val="24"/>
        </w:rPr>
        <w:t>Reasons for any deviation from the financial objectives in the CFSP together with proposed measures to address the deviation and the time estimated for doing so.</w:t>
      </w:r>
    </w:p>
    <w:p w:rsidR="004E2FA5" w:rsidRPr="0034609F" w:rsidRDefault="004E2FA5" w:rsidP="0034609F">
      <w:pPr>
        <w:pStyle w:val="Heading1"/>
        <w:numPr>
          <w:ilvl w:val="1"/>
          <w:numId w:val="44"/>
        </w:numPr>
        <w:spacing w:before="240" w:after="240" w:line="240" w:lineRule="auto"/>
        <w:ind w:left="360" w:hanging="360"/>
        <w:rPr>
          <w:color w:val="auto"/>
        </w:rPr>
      </w:pPr>
      <w:bookmarkStart w:id="7" w:name="_Toc525549608"/>
      <w:r w:rsidRPr="0034609F">
        <w:rPr>
          <w:color w:val="auto"/>
        </w:rPr>
        <w:t>Significance of CBROP</w:t>
      </w:r>
      <w:bookmarkEnd w:id="7"/>
    </w:p>
    <w:p w:rsidR="00EC5EB8" w:rsidRPr="008E58C0" w:rsidRDefault="00500A6E" w:rsidP="00141292">
      <w:pPr>
        <w:spacing w:line="360" w:lineRule="auto"/>
        <w:rPr>
          <w:rFonts w:cstheme="minorHAnsi"/>
          <w:sz w:val="24"/>
          <w:szCs w:val="24"/>
        </w:rPr>
      </w:pPr>
      <w:r w:rsidRPr="008E58C0">
        <w:rPr>
          <w:rFonts w:cstheme="minorHAnsi"/>
          <w:sz w:val="24"/>
          <w:szCs w:val="24"/>
        </w:rPr>
        <w:t xml:space="preserve">The paper is a policy document and links planning with budgeting. It is significant in the budget making process within the Medium Term Expenditure Framework (MTEF) as it reviews previous fiscal performance for the year and identifies any deviations from the budget with the aim of providing realistic forecasts for the coming year. It also assesses how fiscal responsibility principles were adhered as provided in section 107 of the PFM Act 2012. In </w:t>
      </w:r>
      <w:r w:rsidR="00005E88" w:rsidRPr="008E58C0">
        <w:rPr>
          <w:rFonts w:cstheme="minorHAnsi"/>
          <w:sz w:val="24"/>
          <w:szCs w:val="24"/>
        </w:rPr>
        <w:t>addition,</w:t>
      </w:r>
      <w:r w:rsidRPr="008E58C0">
        <w:rPr>
          <w:rFonts w:cstheme="minorHAnsi"/>
          <w:sz w:val="24"/>
          <w:szCs w:val="24"/>
        </w:rPr>
        <w:t xml:space="preserve"> the updated macroeconomic and financial outlook provides a basis for any budget revision and sets out broad fiscal parameters for the next budget. Further, the paper is expected to provide indicative</w:t>
      </w:r>
      <w:r w:rsidR="002E1CE5">
        <w:rPr>
          <w:rFonts w:cstheme="minorHAnsi"/>
          <w:sz w:val="24"/>
          <w:szCs w:val="24"/>
        </w:rPr>
        <w:t xml:space="preserve"> sector ceilings for the FY 2023/2024</w:t>
      </w:r>
      <w:r w:rsidRPr="008E58C0">
        <w:rPr>
          <w:rFonts w:cstheme="minorHAnsi"/>
          <w:sz w:val="24"/>
          <w:szCs w:val="24"/>
        </w:rPr>
        <w:t xml:space="preserve"> budget and in the medium term to guide Sector Workings groups (SWGs) before</w:t>
      </w:r>
      <w:r w:rsidR="00D46E94" w:rsidRPr="008E58C0">
        <w:rPr>
          <w:rFonts w:cstheme="minorHAnsi"/>
          <w:sz w:val="24"/>
          <w:szCs w:val="24"/>
        </w:rPr>
        <w:t xml:space="preserve"> being con</w:t>
      </w:r>
      <w:r w:rsidR="002E1CE5">
        <w:rPr>
          <w:rFonts w:cstheme="minorHAnsi"/>
          <w:sz w:val="24"/>
          <w:szCs w:val="24"/>
        </w:rPr>
        <w:t>firmed in the CFSP 2023.</w:t>
      </w:r>
    </w:p>
    <w:p w:rsidR="00694481" w:rsidRPr="0034609F" w:rsidRDefault="00694481" w:rsidP="0034609F">
      <w:pPr>
        <w:pStyle w:val="Heading1"/>
        <w:numPr>
          <w:ilvl w:val="1"/>
          <w:numId w:val="44"/>
        </w:numPr>
        <w:spacing w:before="240" w:after="240" w:line="240" w:lineRule="auto"/>
        <w:ind w:left="360" w:hanging="360"/>
        <w:rPr>
          <w:color w:val="auto"/>
        </w:rPr>
      </w:pPr>
      <w:bookmarkStart w:id="8" w:name="_Toc525549609"/>
      <w:r w:rsidRPr="0034609F">
        <w:rPr>
          <w:color w:val="auto"/>
        </w:rPr>
        <w:t>Structure</w:t>
      </w:r>
      <w:bookmarkEnd w:id="8"/>
      <w:r w:rsidRPr="0034609F">
        <w:rPr>
          <w:color w:val="auto"/>
        </w:rPr>
        <w:t xml:space="preserve"> </w:t>
      </w:r>
    </w:p>
    <w:p w:rsidR="00825C00" w:rsidRPr="008E58C0" w:rsidRDefault="0065109E" w:rsidP="00141292">
      <w:pPr>
        <w:spacing w:line="360" w:lineRule="auto"/>
        <w:rPr>
          <w:rFonts w:cstheme="minorHAnsi"/>
          <w:sz w:val="24"/>
          <w:szCs w:val="24"/>
        </w:rPr>
      </w:pPr>
      <w:r w:rsidRPr="008E58C0">
        <w:rPr>
          <w:rFonts w:cstheme="minorHAnsi"/>
          <w:sz w:val="24"/>
          <w:szCs w:val="24"/>
        </w:rPr>
        <w:t>This paper has four other sections. Section Two reviews the county’s fiscal performance for the previous year. It is divided into three sub-sections, namely, The Overview, Fiscal Performance and Implications of Fiscal Performance. Section three reviews recent economic developments and has four subsections of Recent Economic Developments, Economic Outlook &amp; Policies, Medium Term Fiscal Framework and Risks to the Outlook. Section four sets out how the county government intends to operate within its means. It establishes the resources envelop (total revenues) it expects then allocates these across departments by setting expenditure ceilings for each department. In addition, it has four sub-sections: adjustment to the proposed budget; the medium term expenditure framework; proposed budget framework; and projected fiscal balance and likely financing. And lastly, section five gives a conclusion of the entire paper.</w:t>
      </w:r>
    </w:p>
    <w:p w:rsidR="00863FC7" w:rsidRPr="00C4418D" w:rsidRDefault="00863FC7" w:rsidP="00141292">
      <w:pPr>
        <w:spacing w:line="360" w:lineRule="auto"/>
        <w:rPr>
          <w:rFonts w:cstheme="minorHAnsi"/>
        </w:rPr>
      </w:pPr>
      <w:r w:rsidRPr="00C4418D">
        <w:rPr>
          <w:rFonts w:cstheme="minorHAnsi"/>
        </w:rPr>
        <w:br w:type="page"/>
      </w:r>
    </w:p>
    <w:p w:rsidR="00F1744C" w:rsidRPr="001154EB" w:rsidRDefault="00F1744C" w:rsidP="001154EB">
      <w:pPr>
        <w:pStyle w:val="Heading1"/>
        <w:numPr>
          <w:ilvl w:val="0"/>
          <w:numId w:val="43"/>
        </w:numPr>
        <w:pBdr>
          <w:bottom w:val="single" w:sz="4" w:space="1" w:color="auto"/>
        </w:pBdr>
        <w:spacing w:after="240"/>
        <w:ind w:hanging="720"/>
        <w:rPr>
          <w:color w:val="auto"/>
        </w:rPr>
      </w:pPr>
      <w:bookmarkStart w:id="9" w:name="_Toc525549610"/>
      <w:r w:rsidRPr="001154EB">
        <w:rPr>
          <w:color w:val="auto"/>
        </w:rPr>
        <w:t>REVI</w:t>
      </w:r>
      <w:r w:rsidR="00A35480" w:rsidRPr="001154EB">
        <w:rPr>
          <w:color w:val="auto"/>
        </w:rPr>
        <w:t xml:space="preserve">EW OF </w:t>
      </w:r>
      <w:r w:rsidR="004432BA" w:rsidRPr="001154EB">
        <w:rPr>
          <w:color w:val="auto"/>
        </w:rPr>
        <w:t xml:space="preserve">COUNTY </w:t>
      </w:r>
      <w:r w:rsidR="00A35480" w:rsidRPr="001154EB">
        <w:rPr>
          <w:color w:val="auto"/>
        </w:rPr>
        <w:t>FISCA</w:t>
      </w:r>
      <w:r w:rsidR="0065109E" w:rsidRPr="001154EB">
        <w:rPr>
          <w:color w:val="auto"/>
        </w:rPr>
        <w:t>L P</w:t>
      </w:r>
      <w:r w:rsidR="00C279B6">
        <w:rPr>
          <w:color w:val="auto"/>
        </w:rPr>
        <w:t>ERFORMANCE IN 2021/22</w:t>
      </w:r>
      <w:r w:rsidR="0065109E" w:rsidRPr="001154EB">
        <w:rPr>
          <w:color w:val="auto"/>
        </w:rPr>
        <w:t xml:space="preserve"> FY</w:t>
      </w:r>
      <w:bookmarkEnd w:id="9"/>
    </w:p>
    <w:p w:rsidR="000E215E" w:rsidRPr="008E58C0" w:rsidRDefault="000E215E" w:rsidP="00DF062E">
      <w:pPr>
        <w:rPr>
          <w:bCs/>
          <w:iCs/>
          <w:sz w:val="24"/>
          <w:szCs w:val="24"/>
        </w:rPr>
      </w:pPr>
      <w:r w:rsidRPr="008E58C0">
        <w:rPr>
          <w:bCs/>
          <w:iCs/>
          <w:sz w:val="24"/>
          <w:szCs w:val="24"/>
        </w:rPr>
        <w:t>This section details the county’s fiscal perform</w:t>
      </w:r>
      <w:r w:rsidR="002E1CE5">
        <w:rPr>
          <w:bCs/>
          <w:iCs/>
          <w:sz w:val="24"/>
          <w:szCs w:val="24"/>
        </w:rPr>
        <w:t>ance for the financial year 20</w:t>
      </w:r>
      <w:r w:rsidR="00C279B6">
        <w:rPr>
          <w:bCs/>
          <w:iCs/>
          <w:sz w:val="24"/>
          <w:szCs w:val="24"/>
        </w:rPr>
        <w:t>21</w:t>
      </w:r>
      <w:r w:rsidR="002E1CE5">
        <w:rPr>
          <w:bCs/>
          <w:iCs/>
          <w:sz w:val="24"/>
          <w:szCs w:val="24"/>
        </w:rPr>
        <w:t>/2</w:t>
      </w:r>
      <w:r w:rsidR="00C279B6">
        <w:rPr>
          <w:bCs/>
          <w:iCs/>
          <w:sz w:val="24"/>
          <w:szCs w:val="24"/>
        </w:rPr>
        <w:t>2</w:t>
      </w:r>
      <w:r w:rsidRPr="008E58C0">
        <w:rPr>
          <w:bCs/>
          <w:iCs/>
          <w:sz w:val="24"/>
          <w:szCs w:val="24"/>
        </w:rPr>
        <w:t xml:space="preserve"> in relation to the</w:t>
      </w:r>
      <w:r w:rsidR="00A45ADE" w:rsidRPr="008E58C0">
        <w:rPr>
          <w:bCs/>
          <w:iCs/>
          <w:sz w:val="24"/>
          <w:szCs w:val="24"/>
        </w:rPr>
        <w:t xml:space="preserve"> approved </w:t>
      </w:r>
      <w:proofErr w:type="spellStart"/>
      <w:r w:rsidR="00A45ADE" w:rsidRPr="008E58C0">
        <w:rPr>
          <w:bCs/>
          <w:iCs/>
          <w:sz w:val="24"/>
          <w:szCs w:val="24"/>
        </w:rPr>
        <w:t>programme</w:t>
      </w:r>
      <w:proofErr w:type="spellEnd"/>
      <w:r w:rsidR="00A45ADE" w:rsidRPr="008E58C0">
        <w:rPr>
          <w:bCs/>
          <w:iCs/>
          <w:sz w:val="24"/>
          <w:szCs w:val="24"/>
        </w:rPr>
        <w:t xml:space="preserve"> based estimates and details the </w:t>
      </w:r>
      <w:r w:rsidRPr="008E58C0">
        <w:rPr>
          <w:bCs/>
          <w:iCs/>
          <w:sz w:val="24"/>
          <w:szCs w:val="24"/>
        </w:rPr>
        <w:t>implications arising from the fiscal perform</w:t>
      </w:r>
      <w:r w:rsidR="00A45ADE" w:rsidRPr="008E58C0">
        <w:rPr>
          <w:bCs/>
          <w:iCs/>
          <w:sz w:val="24"/>
          <w:szCs w:val="24"/>
        </w:rPr>
        <w:t>ance for the same period</w:t>
      </w:r>
      <w:r w:rsidRPr="008E58C0">
        <w:rPr>
          <w:bCs/>
          <w:iCs/>
          <w:sz w:val="24"/>
          <w:szCs w:val="24"/>
        </w:rPr>
        <w:t>.</w:t>
      </w:r>
    </w:p>
    <w:p w:rsidR="000E215E" w:rsidRPr="00C4418D" w:rsidRDefault="000E215E" w:rsidP="000E215E">
      <w:pPr>
        <w:pStyle w:val="ListParagraph"/>
        <w:numPr>
          <w:ilvl w:val="0"/>
          <w:numId w:val="36"/>
        </w:numPr>
        <w:rPr>
          <w:rFonts w:cstheme="minorHAnsi"/>
          <w:b/>
          <w:vanish/>
          <w:sz w:val="24"/>
          <w:szCs w:val="24"/>
        </w:rPr>
      </w:pPr>
    </w:p>
    <w:p w:rsidR="0034609F" w:rsidRPr="0034609F" w:rsidRDefault="0034609F" w:rsidP="0034609F">
      <w:pPr>
        <w:pStyle w:val="ListParagraph"/>
        <w:keepNext/>
        <w:keepLines/>
        <w:numPr>
          <w:ilvl w:val="0"/>
          <w:numId w:val="45"/>
        </w:numPr>
        <w:pBdr>
          <w:bottom w:val="single" w:sz="4" w:space="1" w:color="auto"/>
        </w:pBdr>
        <w:spacing w:before="480" w:after="240"/>
        <w:contextualSpacing w:val="0"/>
        <w:outlineLvl w:val="0"/>
        <w:rPr>
          <w:rFonts w:asciiTheme="majorHAnsi" w:eastAsiaTheme="majorEastAsia" w:hAnsiTheme="majorHAnsi" w:cstheme="majorBidi"/>
          <w:b/>
          <w:bCs/>
          <w:vanish/>
          <w:sz w:val="28"/>
          <w:szCs w:val="28"/>
        </w:rPr>
      </w:pPr>
      <w:bookmarkStart w:id="10" w:name="_Toc525548856"/>
      <w:bookmarkStart w:id="11" w:name="_Toc525549537"/>
      <w:bookmarkStart w:id="12" w:name="_Toc525549586"/>
      <w:bookmarkStart w:id="13" w:name="_Toc525549611"/>
      <w:bookmarkEnd w:id="10"/>
      <w:bookmarkEnd w:id="11"/>
      <w:bookmarkEnd w:id="12"/>
      <w:bookmarkEnd w:id="13"/>
    </w:p>
    <w:p w:rsidR="0034609F" w:rsidRPr="0034609F" w:rsidRDefault="0034609F" w:rsidP="0034609F">
      <w:pPr>
        <w:pStyle w:val="ListParagraph"/>
        <w:keepNext/>
        <w:keepLines/>
        <w:numPr>
          <w:ilvl w:val="0"/>
          <w:numId w:val="45"/>
        </w:numPr>
        <w:pBdr>
          <w:bottom w:val="single" w:sz="4" w:space="1" w:color="auto"/>
        </w:pBdr>
        <w:spacing w:before="480" w:after="240"/>
        <w:contextualSpacing w:val="0"/>
        <w:outlineLvl w:val="0"/>
        <w:rPr>
          <w:rFonts w:asciiTheme="majorHAnsi" w:eastAsiaTheme="majorEastAsia" w:hAnsiTheme="majorHAnsi" w:cstheme="majorBidi"/>
          <w:b/>
          <w:bCs/>
          <w:vanish/>
          <w:sz w:val="28"/>
          <w:szCs w:val="28"/>
        </w:rPr>
      </w:pPr>
      <w:bookmarkStart w:id="14" w:name="_Toc525548857"/>
      <w:bookmarkStart w:id="15" w:name="_Toc525549538"/>
      <w:bookmarkStart w:id="16" w:name="_Toc525549587"/>
      <w:bookmarkStart w:id="17" w:name="_Toc525549612"/>
      <w:bookmarkEnd w:id="14"/>
      <w:bookmarkEnd w:id="15"/>
      <w:bookmarkEnd w:id="16"/>
      <w:bookmarkEnd w:id="17"/>
    </w:p>
    <w:p w:rsidR="0034609F" w:rsidRPr="0034609F" w:rsidRDefault="0034609F" w:rsidP="0034609F">
      <w:pPr>
        <w:pStyle w:val="ListParagraph"/>
        <w:keepNext/>
        <w:keepLines/>
        <w:numPr>
          <w:ilvl w:val="0"/>
          <w:numId w:val="44"/>
        </w:numPr>
        <w:spacing w:before="240" w:after="240" w:line="240" w:lineRule="auto"/>
        <w:contextualSpacing w:val="0"/>
        <w:outlineLvl w:val="0"/>
        <w:rPr>
          <w:rFonts w:asciiTheme="majorHAnsi" w:eastAsiaTheme="majorEastAsia" w:hAnsiTheme="majorHAnsi" w:cstheme="majorBidi"/>
          <w:b/>
          <w:bCs/>
          <w:vanish/>
          <w:sz w:val="28"/>
          <w:szCs w:val="28"/>
        </w:rPr>
      </w:pPr>
      <w:bookmarkStart w:id="18" w:name="_Toc525548858"/>
      <w:bookmarkStart w:id="19" w:name="_Toc525549539"/>
      <w:bookmarkStart w:id="20" w:name="_Toc525549588"/>
      <w:bookmarkStart w:id="21" w:name="_Toc525549613"/>
      <w:bookmarkEnd w:id="18"/>
      <w:bookmarkEnd w:id="19"/>
      <w:bookmarkEnd w:id="20"/>
      <w:bookmarkEnd w:id="21"/>
    </w:p>
    <w:p w:rsidR="000E215E" w:rsidRPr="0034609F" w:rsidRDefault="000E215E" w:rsidP="0034609F">
      <w:pPr>
        <w:pStyle w:val="Heading1"/>
        <w:numPr>
          <w:ilvl w:val="1"/>
          <w:numId w:val="44"/>
        </w:numPr>
        <w:spacing w:before="240" w:after="240" w:line="240" w:lineRule="auto"/>
        <w:ind w:left="432"/>
        <w:rPr>
          <w:color w:val="auto"/>
        </w:rPr>
      </w:pPr>
      <w:bookmarkStart w:id="22" w:name="_Toc525549614"/>
      <w:r w:rsidRPr="0034609F">
        <w:rPr>
          <w:color w:val="auto"/>
        </w:rPr>
        <w:t>Overview</w:t>
      </w:r>
      <w:bookmarkEnd w:id="22"/>
    </w:p>
    <w:p w:rsidR="00C279B6" w:rsidRPr="004E5AA9" w:rsidRDefault="00A45ADE" w:rsidP="00C279B6">
      <w:pPr>
        <w:rPr>
          <w:rFonts w:cstheme="minorHAnsi"/>
          <w:szCs w:val="24"/>
        </w:rPr>
      </w:pPr>
      <w:r w:rsidRPr="008E58C0">
        <w:rPr>
          <w:rFonts w:cstheme="minorHAnsi"/>
          <w:sz w:val="24"/>
          <w:szCs w:val="24"/>
        </w:rPr>
        <w:t>During the period under review, the cou</w:t>
      </w:r>
      <w:r w:rsidR="00386D31" w:rsidRPr="008E58C0">
        <w:rPr>
          <w:rFonts w:cstheme="minorHAnsi"/>
          <w:sz w:val="24"/>
          <w:szCs w:val="24"/>
        </w:rPr>
        <w:t>nty gov</w:t>
      </w:r>
      <w:r w:rsidR="00C279B6">
        <w:rPr>
          <w:rFonts w:cstheme="minorHAnsi"/>
          <w:sz w:val="24"/>
          <w:szCs w:val="24"/>
        </w:rPr>
        <w:t>ernment set out in the CFSP 2021</w:t>
      </w:r>
      <w:r w:rsidRPr="008E58C0">
        <w:rPr>
          <w:rFonts w:cstheme="minorHAnsi"/>
          <w:sz w:val="24"/>
          <w:szCs w:val="24"/>
        </w:rPr>
        <w:t xml:space="preserve"> to attain positive growth prospects throu</w:t>
      </w:r>
      <w:r w:rsidR="00386D31" w:rsidRPr="008E58C0">
        <w:rPr>
          <w:rFonts w:cstheme="minorHAnsi"/>
          <w:sz w:val="24"/>
          <w:szCs w:val="24"/>
        </w:rPr>
        <w:t>gh increased activities in the C</w:t>
      </w:r>
      <w:r w:rsidRPr="008E58C0">
        <w:rPr>
          <w:rFonts w:cstheme="minorHAnsi"/>
          <w:sz w:val="24"/>
          <w:szCs w:val="24"/>
        </w:rPr>
        <w:t xml:space="preserve">ounty </w:t>
      </w:r>
      <w:r w:rsidR="00386D31" w:rsidRPr="008E58C0">
        <w:rPr>
          <w:rFonts w:cstheme="minorHAnsi"/>
          <w:sz w:val="24"/>
          <w:szCs w:val="24"/>
        </w:rPr>
        <w:t>sub-sectors. The C</w:t>
      </w:r>
      <w:r w:rsidRPr="008E58C0">
        <w:rPr>
          <w:rFonts w:cstheme="minorHAnsi"/>
          <w:sz w:val="24"/>
          <w:szCs w:val="24"/>
        </w:rPr>
        <w:t>ounty s</w:t>
      </w:r>
      <w:r w:rsidR="00386D31" w:rsidRPr="008E58C0">
        <w:rPr>
          <w:rFonts w:cstheme="minorHAnsi"/>
          <w:sz w:val="24"/>
          <w:szCs w:val="24"/>
        </w:rPr>
        <w:t>ought to strengthen revenue management to increase the efficiency and efficacy in revenue collection</w:t>
      </w:r>
      <w:r w:rsidR="00321038" w:rsidRPr="008E58C0">
        <w:rPr>
          <w:rFonts w:cstheme="minorHAnsi"/>
          <w:sz w:val="24"/>
          <w:szCs w:val="24"/>
        </w:rPr>
        <w:t>. The County also focused on the following areas which still are areas that the county ex</w:t>
      </w:r>
      <w:r w:rsidR="002E1CE5">
        <w:rPr>
          <w:rFonts w:cstheme="minorHAnsi"/>
          <w:sz w:val="24"/>
          <w:szCs w:val="24"/>
        </w:rPr>
        <w:t>pects to focus on in the FY 2023/24</w:t>
      </w:r>
      <w:r w:rsidR="00C279B6">
        <w:rPr>
          <w:rFonts w:cstheme="minorHAnsi"/>
          <w:sz w:val="24"/>
          <w:szCs w:val="24"/>
        </w:rPr>
        <w:t xml:space="preserve"> MTEF period and which are expected to achieve the </w:t>
      </w:r>
      <w:r w:rsidR="00C279B6" w:rsidRPr="00C279B6">
        <w:rPr>
          <w:rFonts w:cstheme="minorHAnsi"/>
          <w:sz w:val="24"/>
          <w:szCs w:val="24"/>
        </w:rPr>
        <w:t>County Government’s development goal to ensure a secure, resilient and globally competitive first class county in service delivery for all which will also support the transition to the 3rd generation integrated planning process. Hence the MTEF for the FY 2023/24 will be updated to take into account the areas of focus in line with section 126 of the PFM Act that provides that every county shall prepare a development plan in accordance with Article 220(2) of the Constitution of Kenya for approval by the county assembly. However, the key areas of focus for the County in the FY 2023/24 MTEF period will be aligned to the key strategic objectives and focus on the following key objectives.</w:t>
      </w:r>
      <w:r w:rsidR="00C279B6">
        <w:rPr>
          <w:rFonts w:cstheme="minorHAnsi"/>
          <w:szCs w:val="24"/>
        </w:rPr>
        <w:t xml:space="preserve"> </w:t>
      </w:r>
    </w:p>
    <w:p w:rsidR="00C279B6" w:rsidRPr="00C279B6" w:rsidRDefault="00C279B6" w:rsidP="00C279B6">
      <w:pPr>
        <w:pStyle w:val="ListParagraph"/>
        <w:numPr>
          <w:ilvl w:val="0"/>
          <w:numId w:val="38"/>
        </w:numPr>
        <w:ind w:left="284" w:hanging="284"/>
        <w:rPr>
          <w:rFonts w:cstheme="minorHAnsi"/>
          <w:sz w:val="24"/>
          <w:szCs w:val="24"/>
        </w:rPr>
      </w:pPr>
      <w:r w:rsidRPr="00C279B6">
        <w:rPr>
          <w:rFonts w:cstheme="minorHAnsi"/>
          <w:sz w:val="24"/>
          <w:szCs w:val="24"/>
        </w:rPr>
        <w:t xml:space="preserve">Increase food and nutritional security and household income of pastoral, agro-pastoral and fisher-folk of </w:t>
      </w:r>
      <w:proofErr w:type="spellStart"/>
      <w:r w:rsidRPr="00C279B6">
        <w:rPr>
          <w:rFonts w:cstheme="minorHAnsi"/>
          <w:sz w:val="24"/>
          <w:szCs w:val="24"/>
        </w:rPr>
        <w:t>Marsabit</w:t>
      </w:r>
      <w:proofErr w:type="spellEnd"/>
      <w:r w:rsidRPr="00C279B6">
        <w:rPr>
          <w:rFonts w:cstheme="minorHAnsi"/>
          <w:sz w:val="24"/>
          <w:szCs w:val="24"/>
        </w:rPr>
        <w:t xml:space="preserve"> County</w:t>
      </w:r>
    </w:p>
    <w:p w:rsidR="00C279B6" w:rsidRPr="00C279B6" w:rsidRDefault="00C279B6" w:rsidP="00C279B6">
      <w:pPr>
        <w:pStyle w:val="ListParagraph"/>
        <w:numPr>
          <w:ilvl w:val="0"/>
          <w:numId w:val="38"/>
        </w:numPr>
        <w:ind w:left="284" w:hanging="284"/>
        <w:rPr>
          <w:rFonts w:cstheme="minorHAnsi"/>
          <w:sz w:val="24"/>
          <w:szCs w:val="24"/>
        </w:rPr>
      </w:pPr>
      <w:r w:rsidRPr="00C279B6">
        <w:rPr>
          <w:rFonts w:cstheme="minorHAnsi"/>
          <w:sz w:val="24"/>
          <w:szCs w:val="24"/>
        </w:rPr>
        <w:t>Ensure access to quality and affordable health services</w:t>
      </w:r>
    </w:p>
    <w:p w:rsidR="00C279B6" w:rsidRPr="00C279B6" w:rsidRDefault="00C279B6" w:rsidP="00C279B6">
      <w:pPr>
        <w:pStyle w:val="ListParagraph"/>
        <w:numPr>
          <w:ilvl w:val="0"/>
          <w:numId w:val="38"/>
        </w:numPr>
        <w:ind w:left="284" w:hanging="284"/>
        <w:rPr>
          <w:rFonts w:cstheme="minorHAnsi"/>
          <w:sz w:val="24"/>
          <w:szCs w:val="24"/>
        </w:rPr>
      </w:pPr>
      <w:r w:rsidRPr="00C279B6">
        <w:rPr>
          <w:rFonts w:cstheme="minorHAnsi"/>
          <w:sz w:val="24"/>
          <w:szCs w:val="24"/>
        </w:rPr>
        <w:t>Improve early childhood and vocational education, youth empowerment and sports development</w:t>
      </w:r>
    </w:p>
    <w:p w:rsidR="00C279B6" w:rsidRPr="00C279B6" w:rsidRDefault="00C279B6" w:rsidP="00C279B6">
      <w:pPr>
        <w:pStyle w:val="ListParagraph"/>
        <w:numPr>
          <w:ilvl w:val="0"/>
          <w:numId w:val="38"/>
        </w:numPr>
        <w:ind w:left="284" w:hanging="284"/>
        <w:rPr>
          <w:rFonts w:cstheme="minorHAnsi"/>
          <w:sz w:val="24"/>
          <w:szCs w:val="24"/>
        </w:rPr>
      </w:pPr>
      <w:r w:rsidRPr="00C279B6">
        <w:rPr>
          <w:rFonts w:cstheme="minorHAnsi"/>
          <w:sz w:val="24"/>
          <w:szCs w:val="24"/>
        </w:rPr>
        <w:t>Improve road, transport and housing development to spur economic growth</w:t>
      </w:r>
    </w:p>
    <w:p w:rsidR="00C279B6" w:rsidRPr="00C279B6" w:rsidRDefault="00C279B6" w:rsidP="00C279B6">
      <w:pPr>
        <w:pStyle w:val="ListParagraph"/>
        <w:numPr>
          <w:ilvl w:val="0"/>
          <w:numId w:val="38"/>
        </w:numPr>
        <w:ind w:left="284" w:hanging="284"/>
        <w:rPr>
          <w:rFonts w:cstheme="minorHAnsi"/>
          <w:sz w:val="24"/>
          <w:szCs w:val="24"/>
        </w:rPr>
      </w:pPr>
      <w:r w:rsidRPr="00C279B6">
        <w:rPr>
          <w:rFonts w:cstheme="minorHAnsi"/>
          <w:sz w:val="24"/>
          <w:szCs w:val="24"/>
        </w:rPr>
        <w:t>Improve access to adequate portable water and ensure clean and safe environment</w:t>
      </w:r>
    </w:p>
    <w:p w:rsidR="00C279B6" w:rsidRPr="00C279B6" w:rsidRDefault="00C279B6" w:rsidP="00C279B6">
      <w:pPr>
        <w:pStyle w:val="ListParagraph"/>
        <w:numPr>
          <w:ilvl w:val="0"/>
          <w:numId w:val="38"/>
        </w:numPr>
        <w:ind w:left="284" w:hanging="284"/>
        <w:rPr>
          <w:rFonts w:cstheme="minorHAnsi"/>
          <w:sz w:val="24"/>
          <w:szCs w:val="24"/>
        </w:rPr>
      </w:pPr>
      <w:r w:rsidRPr="00C279B6">
        <w:rPr>
          <w:rFonts w:cstheme="minorHAnsi"/>
          <w:sz w:val="24"/>
          <w:szCs w:val="24"/>
        </w:rPr>
        <w:t>To facilitate and enable sustainable land use and growth of the urban centers through efficient land administration, equitable access, secure tenure, sustainable management of land-based resource and well-planned urban centers</w:t>
      </w:r>
    </w:p>
    <w:p w:rsidR="00C279B6" w:rsidRPr="00C279B6" w:rsidRDefault="00C279B6" w:rsidP="00C279B6">
      <w:pPr>
        <w:pStyle w:val="ListParagraph"/>
        <w:numPr>
          <w:ilvl w:val="0"/>
          <w:numId w:val="38"/>
        </w:numPr>
        <w:ind w:left="284" w:hanging="284"/>
        <w:rPr>
          <w:rFonts w:cstheme="minorHAnsi"/>
          <w:sz w:val="24"/>
          <w:szCs w:val="24"/>
        </w:rPr>
      </w:pPr>
      <w:r w:rsidRPr="00C279B6">
        <w:rPr>
          <w:rFonts w:cstheme="minorHAnsi"/>
          <w:sz w:val="24"/>
          <w:szCs w:val="24"/>
        </w:rPr>
        <w:t>Promoting green, affordable, sustainable, and reliable energy services while protecting and conserving the environment</w:t>
      </w:r>
    </w:p>
    <w:p w:rsidR="00C279B6" w:rsidRPr="00C279B6" w:rsidRDefault="00C279B6" w:rsidP="00C279B6">
      <w:pPr>
        <w:pStyle w:val="ListParagraph"/>
        <w:numPr>
          <w:ilvl w:val="0"/>
          <w:numId w:val="38"/>
        </w:numPr>
        <w:ind w:left="284" w:hanging="284"/>
        <w:rPr>
          <w:rFonts w:cstheme="minorHAnsi"/>
          <w:sz w:val="24"/>
          <w:szCs w:val="24"/>
        </w:rPr>
      </w:pPr>
      <w:r w:rsidRPr="00C279B6">
        <w:rPr>
          <w:rFonts w:cstheme="minorHAnsi"/>
          <w:sz w:val="24"/>
          <w:szCs w:val="24"/>
        </w:rPr>
        <w:t>Improve ease of doing business for wealth creation</w:t>
      </w:r>
    </w:p>
    <w:p w:rsidR="00C279B6" w:rsidRPr="00C279B6" w:rsidRDefault="00C279B6" w:rsidP="00C279B6">
      <w:pPr>
        <w:pStyle w:val="ListParagraph"/>
        <w:numPr>
          <w:ilvl w:val="0"/>
          <w:numId w:val="38"/>
        </w:numPr>
        <w:ind w:left="284" w:hanging="284"/>
        <w:rPr>
          <w:rFonts w:cstheme="minorHAnsi"/>
          <w:sz w:val="24"/>
          <w:szCs w:val="24"/>
        </w:rPr>
      </w:pPr>
      <w:r w:rsidRPr="00C279B6">
        <w:rPr>
          <w:rFonts w:cstheme="minorHAnsi"/>
          <w:sz w:val="24"/>
          <w:szCs w:val="24"/>
        </w:rPr>
        <w:t xml:space="preserve">To provide quality service delivery at all decentralized units </w:t>
      </w:r>
    </w:p>
    <w:p w:rsidR="00C279B6" w:rsidRPr="00C279B6" w:rsidRDefault="00C279B6" w:rsidP="00C279B6">
      <w:pPr>
        <w:pStyle w:val="ListParagraph"/>
        <w:numPr>
          <w:ilvl w:val="0"/>
          <w:numId w:val="38"/>
        </w:numPr>
        <w:ind w:left="284" w:hanging="284"/>
        <w:rPr>
          <w:rFonts w:cstheme="minorHAnsi"/>
          <w:sz w:val="24"/>
          <w:szCs w:val="24"/>
        </w:rPr>
      </w:pPr>
      <w:r w:rsidRPr="00C279B6">
        <w:rPr>
          <w:rFonts w:cstheme="minorHAnsi"/>
          <w:sz w:val="24"/>
          <w:szCs w:val="24"/>
        </w:rPr>
        <w:t xml:space="preserve">To improve ICT infrastructure for efficient delivery of services to the citizens </w:t>
      </w:r>
    </w:p>
    <w:p w:rsidR="00C279B6" w:rsidRPr="00C279B6" w:rsidRDefault="00C279B6" w:rsidP="00C279B6">
      <w:pPr>
        <w:pStyle w:val="ListParagraph"/>
        <w:numPr>
          <w:ilvl w:val="0"/>
          <w:numId w:val="38"/>
        </w:numPr>
        <w:ind w:left="284" w:hanging="284"/>
        <w:rPr>
          <w:rFonts w:cstheme="minorHAnsi"/>
          <w:sz w:val="24"/>
          <w:szCs w:val="24"/>
        </w:rPr>
      </w:pPr>
      <w:r w:rsidRPr="00C279B6">
        <w:rPr>
          <w:rFonts w:cstheme="minorHAnsi"/>
          <w:sz w:val="24"/>
          <w:szCs w:val="24"/>
        </w:rPr>
        <w:t>To improve cohesion among communities living in the County and strengthen disaster mitigation mechanism</w:t>
      </w:r>
    </w:p>
    <w:p w:rsidR="00C279B6" w:rsidRPr="00C279B6" w:rsidRDefault="00C279B6" w:rsidP="00C279B6">
      <w:pPr>
        <w:pStyle w:val="ListParagraph"/>
        <w:numPr>
          <w:ilvl w:val="0"/>
          <w:numId w:val="38"/>
        </w:numPr>
        <w:ind w:left="284" w:hanging="284"/>
        <w:rPr>
          <w:rFonts w:cstheme="minorHAnsi"/>
          <w:sz w:val="24"/>
          <w:szCs w:val="24"/>
        </w:rPr>
      </w:pPr>
      <w:r w:rsidRPr="00C279B6">
        <w:rPr>
          <w:rFonts w:cstheme="minorHAnsi"/>
          <w:sz w:val="24"/>
          <w:szCs w:val="24"/>
        </w:rPr>
        <w:t>To improve sensitization, awareness creation and advocacy among the citizens</w:t>
      </w:r>
    </w:p>
    <w:p w:rsidR="00C279B6" w:rsidRDefault="00C279B6" w:rsidP="000E215E">
      <w:pPr>
        <w:pStyle w:val="ListParagraph"/>
        <w:numPr>
          <w:ilvl w:val="0"/>
          <w:numId w:val="38"/>
        </w:numPr>
        <w:ind w:left="284" w:hanging="284"/>
        <w:rPr>
          <w:rFonts w:cstheme="minorHAnsi"/>
          <w:sz w:val="24"/>
          <w:szCs w:val="24"/>
        </w:rPr>
      </w:pPr>
      <w:r w:rsidRPr="00C279B6">
        <w:rPr>
          <w:rFonts w:cstheme="minorHAnsi"/>
          <w:sz w:val="24"/>
          <w:szCs w:val="24"/>
        </w:rPr>
        <w:t xml:space="preserve">Ensure professional, ethical and responsive human resource that will provide effective and efficient public service delivery to the devolved units. </w:t>
      </w:r>
    </w:p>
    <w:p w:rsidR="00D24ADB" w:rsidRPr="00C279B6" w:rsidRDefault="00BA7C98" w:rsidP="000E215E">
      <w:pPr>
        <w:pStyle w:val="ListParagraph"/>
        <w:numPr>
          <w:ilvl w:val="0"/>
          <w:numId w:val="38"/>
        </w:numPr>
        <w:ind w:left="284" w:hanging="284"/>
        <w:rPr>
          <w:rFonts w:cstheme="minorHAnsi"/>
          <w:sz w:val="24"/>
          <w:szCs w:val="24"/>
        </w:rPr>
      </w:pPr>
      <w:r w:rsidRPr="00C279B6">
        <w:rPr>
          <w:rFonts w:cstheme="minorHAnsi"/>
          <w:sz w:val="24"/>
          <w:szCs w:val="24"/>
        </w:rPr>
        <w:t xml:space="preserve">The County has also moved to the utilization of e- procurement to enhance budget absorption </w:t>
      </w:r>
      <w:r w:rsidR="006622C4" w:rsidRPr="00C279B6">
        <w:rPr>
          <w:rFonts w:cstheme="minorHAnsi"/>
          <w:sz w:val="24"/>
          <w:szCs w:val="24"/>
        </w:rPr>
        <w:t xml:space="preserve">and the County expenditure was guided by sector objectives and priorities as </w:t>
      </w:r>
      <w:r w:rsidR="00C279B6">
        <w:rPr>
          <w:rFonts w:cstheme="minorHAnsi"/>
          <w:sz w:val="24"/>
          <w:szCs w:val="24"/>
        </w:rPr>
        <w:t xml:space="preserve">will be espoused in the soon to be concluded </w:t>
      </w:r>
      <w:r w:rsidR="006622C4" w:rsidRPr="00C279B6">
        <w:rPr>
          <w:rFonts w:cstheme="minorHAnsi"/>
          <w:sz w:val="24"/>
          <w:szCs w:val="24"/>
        </w:rPr>
        <w:t>CIDP</w:t>
      </w:r>
      <w:r w:rsidR="00C279B6">
        <w:rPr>
          <w:rFonts w:cstheme="minorHAnsi"/>
          <w:sz w:val="24"/>
          <w:szCs w:val="24"/>
        </w:rPr>
        <w:t xml:space="preserve"> (2022-2027)</w:t>
      </w:r>
      <w:r w:rsidR="006622C4" w:rsidRPr="00C279B6">
        <w:rPr>
          <w:rFonts w:cstheme="minorHAnsi"/>
          <w:sz w:val="24"/>
          <w:szCs w:val="24"/>
        </w:rPr>
        <w:t xml:space="preserve">. </w:t>
      </w:r>
    </w:p>
    <w:p w:rsidR="004A0621" w:rsidRPr="0034609F" w:rsidRDefault="004A0621" w:rsidP="0034609F">
      <w:pPr>
        <w:pStyle w:val="Heading1"/>
        <w:numPr>
          <w:ilvl w:val="1"/>
          <w:numId w:val="44"/>
        </w:numPr>
        <w:spacing w:before="240" w:after="240" w:line="240" w:lineRule="auto"/>
        <w:ind w:left="432"/>
        <w:rPr>
          <w:color w:val="auto"/>
        </w:rPr>
      </w:pPr>
      <w:bookmarkStart w:id="23" w:name="_Toc525549615"/>
      <w:r w:rsidRPr="0034609F">
        <w:rPr>
          <w:color w:val="auto"/>
        </w:rPr>
        <w:t>Fiscal Performance</w:t>
      </w:r>
      <w:bookmarkEnd w:id="23"/>
    </w:p>
    <w:p w:rsidR="004A0621" w:rsidRPr="006673AD" w:rsidRDefault="005E2AC6" w:rsidP="004A0621">
      <w:pPr>
        <w:rPr>
          <w:rFonts w:cstheme="minorHAnsi"/>
        </w:rPr>
      </w:pPr>
      <w:r w:rsidRPr="008E58C0">
        <w:rPr>
          <w:rFonts w:cstheme="minorHAnsi"/>
          <w:sz w:val="24"/>
          <w:szCs w:val="24"/>
        </w:rPr>
        <w:t xml:space="preserve">Overall revenues </w:t>
      </w:r>
      <w:r w:rsidR="00962989">
        <w:rPr>
          <w:rFonts w:cstheme="minorHAnsi"/>
          <w:sz w:val="24"/>
          <w:szCs w:val="24"/>
        </w:rPr>
        <w:t xml:space="preserve">reduced by 12% between FY 2021/22 and FY 2020/21 </w:t>
      </w:r>
      <w:r w:rsidR="004A0621" w:rsidRPr="008E58C0">
        <w:rPr>
          <w:rFonts w:cstheme="minorHAnsi"/>
          <w:sz w:val="24"/>
          <w:szCs w:val="24"/>
        </w:rPr>
        <w:t>as per table 1 below on summary of County Fiscal Performance</w:t>
      </w:r>
      <w:r w:rsidRPr="008E58C0">
        <w:rPr>
          <w:rFonts w:cstheme="minorHAnsi"/>
          <w:sz w:val="24"/>
          <w:szCs w:val="24"/>
        </w:rPr>
        <w:t>. However, and against the budget, the</w:t>
      </w:r>
      <w:r w:rsidR="00962989">
        <w:rPr>
          <w:rFonts w:cstheme="minorHAnsi"/>
          <w:sz w:val="24"/>
          <w:szCs w:val="24"/>
        </w:rPr>
        <w:t>re was a negative variation of 24</w:t>
      </w:r>
      <w:r w:rsidRPr="008E58C0">
        <w:rPr>
          <w:rFonts w:cstheme="minorHAnsi"/>
          <w:sz w:val="24"/>
          <w:szCs w:val="24"/>
        </w:rPr>
        <w:t xml:space="preserve">% between the budgeted and the actual revenue. This was attributed mainly to </w:t>
      </w:r>
      <w:r w:rsidR="00962989">
        <w:rPr>
          <w:rFonts w:cstheme="minorHAnsi"/>
          <w:sz w:val="24"/>
          <w:szCs w:val="24"/>
        </w:rPr>
        <w:t xml:space="preserve">a significant reduction in grants by 812%, significant reduction in local revenue by 71% and a reduction between the equitable share approved in the County allocation of Revenue Act and included in the budget and the actual amounts received by 9%. </w:t>
      </w:r>
    </w:p>
    <w:p w:rsidR="00F263D6" w:rsidRDefault="00F263D6" w:rsidP="00F263D6">
      <w:pPr>
        <w:spacing w:before="10" w:after="158" w:line="278" w:lineRule="exact"/>
        <w:rPr>
          <w:rFonts w:cstheme="minorHAnsi"/>
          <w:b/>
          <w:bCs/>
        </w:rPr>
      </w:pPr>
      <w:r w:rsidRPr="00C4418D">
        <w:rPr>
          <w:rFonts w:cstheme="minorHAnsi"/>
          <w:b/>
          <w:bCs/>
        </w:rPr>
        <w:t>Table 2.1: Summary of County Fiscal Performance</w:t>
      </w:r>
    </w:p>
    <w:tbl>
      <w:tblPr>
        <w:tblW w:w="9781" w:type="dxa"/>
        <w:tblInd w:w="-5" w:type="dxa"/>
        <w:tblLook w:val="04A0" w:firstRow="1" w:lastRow="0" w:firstColumn="1" w:lastColumn="0" w:noHBand="0" w:noVBand="1"/>
      </w:tblPr>
      <w:tblGrid>
        <w:gridCol w:w="2410"/>
        <w:gridCol w:w="1701"/>
        <w:gridCol w:w="1843"/>
        <w:gridCol w:w="1701"/>
        <w:gridCol w:w="1134"/>
        <w:gridCol w:w="992"/>
      </w:tblGrid>
      <w:tr w:rsidR="00FB7B09" w:rsidRPr="00FB7B09" w:rsidTr="00FB7B09">
        <w:trPr>
          <w:trHeight w:val="29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rPr>
                <w:rFonts w:eastAsia="Times New Roman" w:cstheme="minorHAnsi"/>
                <w:color w:val="000000"/>
                <w:sz w:val="18"/>
                <w:szCs w:val="18"/>
              </w:rPr>
            </w:pPr>
            <w:r w:rsidRPr="00FB7B09">
              <w:rPr>
                <w:rFonts w:eastAsia="Times New Roman" w:cstheme="minorHAnsi"/>
                <w:color w:val="000000"/>
                <w:sz w:val="18"/>
                <w:szCs w:val="18"/>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FB7B09" w:rsidRPr="00FB7B09" w:rsidRDefault="00FB7B09" w:rsidP="00FB7B09">
            <w:pPr>
              <w:spacing w:after="0" w:line="240" w:lineRule="auto"/>
              <w:jc w:val="right"/>
              <w:rPr>
                <w:rFonts w:eastAsia="Times New Roman" w:cstheme="minorHAnsi"/>
                <w:b/>
                <w:bCs/>
                <w:color w:val="000000"/>
                <w:sz w:val="18"/>
                <w:szCs w:val="18"/>
              </w:rPr>
            </w:pPr>
            <w:r w:rsidRPr="00FB7B09">
              <w:rPr>
                <w:rFonts w:eastAsia="Times New Roman" w:cstheme="minorHAnsi"/>
                <w:b/>
                <w:bCs/>
                <w:color w:val="000000"/>
                <w:sz w:val="18"/>
                <w:szCs w:val="18"/>
              </w:rPr>
              <w:t>FY 2020/21</w:t>
            </w:r>
          </w:p>
        </w:tc>
        <w:tc>
          <w:tcPr>
            <w:tcW w:w="3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center"/>
              <w:rPr>
                <w:rFonts w:eastAsia="Times New Roman" w:cstheme="minorHAnsi"/>
                <w:b/>
                <w:bCs/>
                <w:color w:val="000000"/>
                <w:sz w:val="18"/>
                <w:szCs w:val="18"/>
              </w:rPr>
            </w:pPr>
            <w:r w:rsidRPr="00FB7B09">
              <w:rPr>
                <w:rFonts w:eastAsia="Times New Roman" w:cstheme="minorHAnsi"/>
                <w:b/>
                <w:bCs/>
                <w:color w:val="000000"/>
                <w:sz w:val="18"/>
                <w:szCs w:val="18"/>
              </w:rPr>
              <w:t>FY 2021/22</w:t>
            </w:r>
          </w:p>
          <w:p w:rsidR="00FB7B09" w:rsidRPr="00FB7B09" w:rsidRDefault="00FB7B09" w:rsidP="00FB7B09">
            <w:pPr>
              <w:spacing w:after="0" w:line="240" w:lineRule="auto"/>
              <w:jc w:val="center"/>
              <w:rPr>
                <w:rFonts w:eastAsia="Times New Roman" w:cstheme="minorHAnsi"/>
                <w:b/>
                <w:bCs/>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rPr>
                <w:rFonts w:eastAsia="Times New Roman" w:cstheme="minorHAnsi"/>
                <w:b/>
                <w:bCs/>
                <w:color w:val="000000"/>
                <w:sz w:val="18"/>
                <w:szCs w:val="18"/>
              </w:rPr>
            </w:pPr>
            <w:r w:rsidRPr="00FB7B09">
              <w:rPr>
                <w:rFonts w:eastAsia="Times New Roman" w:cstheme="minorHAnsi"/>
                <w:b/>
                <w:bCs/>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rPr>
                <w:rFonts w:eastAsia="Times New Roman" w:cstheme="minorHAnsi"/>
                <w:b/>
                <w:bCs/>
                <w:color w:val="000000"/>
                <w:sz w:val="18"/>
                <w:szCs w:val="18"/>
              </w:rPr>
            </w:pPr>
            <w:r w:rsidRPr="00FB7B09">
              <w:rPr>
                <w:rFonts w:eastAsia="Times New Roman" w:cstheme="minorHAnsi"/>
                <w:b/>
                <w:bCs/>
                <w:color w:val="000000"/>
                <w:sz w:val="18"/>
                <w:szCs w:val="18"/>
              </w:rPr>
              <w:t> </w:t>
            </w:r>
          </w:p>
        </w:tc>
      </w:tr>
      <w:tr w:rsidR="00FB7B09" w:rsidRPr="00FB7B09" w:rsidTr="00FB7B09">
        <w:trPr>
          <w:trHeight w:val="29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rPr>
                <w:rFonts w:eastAsia="Times New Roman" w:cstheme="minorHAnsi"/>
                <w:color w:val="000000"/>
                <w:sz w:val="18"/>
                <w:szCs w:val="18"/>
              </w:rPr>
            </w:pPr>
            <w:r w:rsidRPr="00FB7B09">
              <w:rPr>
                <w:rFonts w:eastAsia="Times New Roman" w:cstheme="minorHAns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b/>
                <w:bCs/>
                <w:color w:val="000000"/>
                <w:sz w:val="18"/>
                <w:szCs w:val="18"/>
              </w:rPr>
            </w:pPr>
            <w:r w:rsidRPr="00FB7B09">
              <w:rPr>
                <w:rFonts w:eastAsia="Times New Roman" w:cstheme="minorHAnsi"/>
                <w:b/>
                <w:bCs/>
                <w:color w:val="000000"/>
                <w:sz w:val="18"/>
                <w:szCs w:val="18"/>
              </w:rPr>
              <w:t>Actual</w:t>
            </w:r>
          </w:p>
        </w:tc>
        <w:tc>
          <w:tcPr>
            <w:tcW w:w="1843"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b/>
                <w:bCs/>
                <w:color w:val="000000"/>
                <w:sz w:val="18"/>
                <w:szCs w:val="18"/>
              </w:rPr>
            </w:pPr>
            <w:r w:rsidRPr="00FB7B09">
              <w:rPr>
                <w:rFonts w:eastAsia="Times New Roman" w:cstheme="minorHAnsi"/>
                <w:b/>
                <w:bCs/>
                <w:color w:val="000000"/>
                <w:sz w:val="18"/>
                <w:szCs w:val="18"/>
              </w:rPr>
              <w:t>Approved</w:t>
            </w:r>
          </w:p>
        </w:tc>
        <w:tc>
          <w:tcPr>
            <w:tcW w:w="1701"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b/>
                <w:bCs/>
                <w:color w:val="000000"/>
                <w:sz w:val="18"/>
                <w:szCs w:val="18"/>
              </w:rPr>
            </w:pPr>
            <w:r w:rsidRPr="00FB7B09">
              <w:rPr>
                <w:rFonts w:eastAsia="Times New Roman" w:cstheme="minorHAnsi"/>
                <w:b/>
                <w:bCs/>
                <w:color w:val="000000"/>
                <w:sz w:val="18"/>
                <w:szCs w:val="18"/>
              </w:rPr>
              <w:t>Actual</w:t>
            </w:r>
          </w:p>
        </w:tc>
        <w:tc>
          <w:tcPr>
            <w:tcW w:w="1134"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rPr>
                <w:rFonts w:eastAsia="Times New Roman" w:cstheme="minorHAnsi"/>
                <w:b/>
                <w:bCs/>
                <w:color w:val="000000"/>
                <w:sz w:val="18"/>
                <w:szCs w:val="18"/>
              </w:rPr>
            </w:pPr>
            <w:r w:rsidRPr="00FB7B09">
              <w:rPr>
                <w:rFonts w:eastAsia="Times New Roman" w:cstheme="minorHAnsi"/>
                <w:b/>
                <w:bCs/>
                <w:color w:val="000000"/>
                <w:sz w:val="18"/>
                <w:szCs w:val="18"/>
              </w:rPr>
              <w:t>% Deviation</w:t>
            </w:r>
          </w:p>
        </w:tc>
        <w:tc>
          <w:tcPr>
            <w:tcW w:w="992"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rPr>
                <w:rFonts w:eastAsia="Times New Roman" w:cstheme="minorHAnsi"/>
                <w:b/>
                <w:bCs/>
                <w:color w:val="000000"/>
                <w:sz w:val="18"/>
                <w:szCs w:val="18"/>
              </w:rPr>
            </w:pPr>
            <w:r w:rsidRPr="00FB7B09">
              <w:rPr>
                <w:rFonts w:eastAsia="Times New Roman" w:cstheme="minorHAnsi"/>
                <w:b/>
                <w:bCs/>
                <w:color w:val="000000"/>
                <w:sz w:val="18"/>
                <w:szCs w:val="18"/>
              </w:rPr>
              <w:t>Growth %</w:t>
            </w:r>
          </w:p>
        </w:tc>
      </w:tr>
      <w:tr w:rsidR="00FB7B09" w:rsidRPr="00FB7B09" w:rsidTr="00FB7B09">
        <w:trPr>
          <w:trHeight w:val="29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rPr>
                <w:rFonts w:eastAsia="Times New Roman" w:cstheme="minorHAnsi"/>
                <w:color w:val="000000"/>
                <w:sz w:val="18"/>
                <w:szCs w:val="18"/>
              </w:rPr>
            </w:pPr>
            <w:r w:rsidRPr="00FB7B09">
              <w:rPr>
                <w:rFonts w:eastAsia="Times New Roman" w:cstheme="minorHAnsi"/>
                <w:color w:val="000000"/>
                <w:sz w:val="18"/>
                <w:szCs w:val="18"/>
              </w:rPr>
              <w:t>TOTAL REVENUE &amp; GANTS</w:t>
            </w:r>
          </w:p>
        </w:tc>
        <w:tc>
          <w:tcPr>
            <w:tcW w:w="1701"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color w:val="000000"/>
                <w:sz w:val="18"/>
                <w:szCs w:val="18"/>
              </w:rPr>
            </w:pPr>
            <w:r w:rsidRPr="00FB7B09">
              <w:rPr>
                <w:rFonts w:eastAsia="Times New Roman" w:cstheme="minorHAnsi"/>
                <w:color w:val="000000"/>
                <w:sz w:val="18"/>
                <w:szCs w:val="18"/>
              </w:rPr>
              <w:t xml:space="preserve">   7,801,289,144.00 </w:t>
            </w:r>
          </w:p>
        </w:tc>
        <w:tc>
          <w:tcPr>
            <w:tcW w:w="1843"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color w:val="000000"/>
                <w:sz w:val="18"/>
                <w:szCs w:val="18"/>
              </w:rPr>
            </w:pPr>
            <w:r w:rsidRPr="00FB7B09">
              <w:rPr>
                <w:rFonts w:eastAsia="Times New Roman" w:cstheme="minorHAnsi"/>
                <w:color w:val="000000"/>
                <w:sz w:val="18"/>
                <w:szCs w:val="18"/>
              </w:rPr>
              <w:t xml:space="preserve">      8,755,164,534.00 </w:t>
            </w:r>
          </w:p>
        </w:tc>
        <w:tc>
          <w:tcPr>
            <w:tcW w:w="1701"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color w:val="000000"/>
                <w:sz w:val="18"/>
                <w:szCs w:val="18"/>
              </w:rPr>
            </w:pPr>
            <w:r w:rsidRPr="00FB7B09">
              <w:rPr>
                <w:rFonts w:eastAsia="Times New Roman" w:cstheme="minorHAnsi"/>
                <w:color w:val="000000"/>
                <w:sz w:val="18"/>
                <w:szCs w:val="18"/>
              </w:rPr>
              <w:t xml:space="preserve">  6,937,803,363.00 </w:t>
            </w:r>
          </w:p>
        </w:tc>
        <w:tc>
          <w:tcPr>
            <w:tcW w:w="1134"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color w:val="000000"/>
                <w:sz w:val="18"/>
                <w:szCs w:val="18"/>
              </w:rPr>
            </w:pPr>
            <w:r w:rsidRPr="00FB7B09">
              <w:rPr>
                <w:rFonts w:eastAsia="Times New Roman" w:cstheme="minorHAnsi"/>
                <w:color w:val="000000"/>
                <w:sz w:val="18"/>
                <w:szCs w:val="18"/>
              </w:rPr>
              <w:t>-26.20%</w:t>
            </w:r>
          </w:p>
        </w:tc>
        <w:tc>
          <w:tcPr>
            <w:tcW w:w="992"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color w:val="000000"/>
                <w:sz w:val="18"/>
                <w:szCs w:val="18"/>
              </w:rPr>
            </w:pPr>
            <w:r w:rsidRPr="00FB7B09">
              <w:rPr>
                <w:rFonts w:eastAsia="Times New Roman" w:cstheme="minorHAnsi"/>
                <w:color w:val="000000"/>
                <w:sz w:val="18"/>
                <w:szCs w:val="18"/>
              </w:rPr>
              <w:t>-12.45%</w:t>
            </w:r>
          </w:p>
        </w:tc>
      </w:tr>
      <w:tr w:rsidR="00FB7B09" w:rsidRPr="00FB7B09" w:rsidTr="00FB7B09">
        <w:trPr>
          <w:trHeight w:val="29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rPr>
                <w:rFonts w:eastAsia="Times New Roman" w:cstheme="minorHAnsi"/>
                <w:color w:val="000000"/>
                <w:sz w:val="18"/>
                <w:szCs w:val="18"/>
              </w:rPr>
            </w:pPr>
            <w:r w:rsidRPr="00FB7B09">
              <w:rPr>
                <w:rFonts w:eastAsia="Times New Roman" w:cstheme="minorHAnsi"/>
                <w:color w:val="000000"/>
                <w:sz w:val="18"/>
                <w:szCs w:val="18"/>
              </w:rPr>
              <w:t>Unspent Bal from Previous FY</w:t>
            </w:r>
          </w:p>
        </w:tc>
        <w:tc>
          <w:tcPr>
            <w:tcW w:w="1701"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color w:val="000000"/>
                <w:sz w:val="18"/>
                <w:szCs w:val="18"/>
              </w:rPr>
            </w:pPr>
            <w:r w:rsidRPr="00FB7B09">
              <w:rPr>
                <w:rFonts w:eastAsia="Times New Roman" w:cstheme="minorHAnsi"/>
                <w:color w:val="000000"/>
                <w:sz w:val="18"/>
                <w:szCs w:val="18"/>
              </w:rPr>
              <w:t xml:space="preserve">      578,814,049.00 </w:t>
            </w:r>
          </w:p>
        </w:tc>
        <w:tc>
          <w:tcPr>
            <w:tcW w:w="1843"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color w:val="000000"/>
                <w:sz w:val="18"/>
                <w:szCs w:val="18"/>
              </w:rPr>
            </w:pPr>
            <w:r w:rsidRPr="00FB7B09">
              <w:rPr>
                <w:rFonts w:eastAsia="Times New Roman" w:cstheme="minorHAnsi"/>
                <w:color w:val="000000"/>
                <w:sz w:val="18"/>
                <w:szCs w:val="18"/>
              </w:rPr>
              <w:t xml:space="preserve">         576,376,950.00 </w:t>
            </w:r>
          </w:p>
        </w:tc>
        <w:tc>
          <w:tcPr>
            <w:tcW w:w="1701"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color w:val="000000"/>
                <w:sz w:val="18"/>
                <w:szCs w:val="18"/>
              </w:rPr>
            </w:pPr>
            <w:r w:rsidRPr="00FB7B09">
              <w:rPr>
                <w:rFonts w:eastAsia="Times New Roman" w:cstheme="minorHAnsi"/>
                <w:color w:val="000000"/>
                <w:sz w:val="18"/>
                <w:szCs w:val="18"/>
              </w:rPr>
              <w:t xml:space="preserve">     576,376,950.00 </w:t>
            </w:r>
          </w:p>
        </w:tc>
        <w:tc>
          <w:tcPr>
            <w:tcW w:w="1134"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color w:val="000000"/>
                <w:sz w:val="18"/>
                <w:szCs w:val="18"/>
              </w:rPr>
            </w:pPr>
            <w:r w:rsidRPr="00FB7B09">
              <w:rPr>
                <w:rFonts w:eastAsia="Times New Roman" w:cstheme="minorHAnsi"/>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color w:val="000000"/>
                <w:sz w:val="18"/>
                <w:szCs w:val="18"/>
              </w:rPr>
            </w:pPr>
            <w:r w:rsidRPr="00FB7B09">
              <w:rPr>
                <w:rFonts w:eastAsia="Times New Roman" w:cstheme="minorHAnsi"/>
                <w:color w:val="000000"/>
                <w:sz w:val="18"/>
                <w:szCs w:val="18"/>
              </w:rPr>
              <w:t>-0.42%</w:t>
            </w:r>
          </w:p>
        </w:tc>
      </w:tr>
      <w:tr w:rsidR="00FB7B09" w:rsidRPr="00FB7B09" w:rsidTr="00FB7B09">
        <w:trPr>
          <w:trHeight w:val="29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rPr>
                <w:rFonts w:eastAsia="Times New Roman" w:cstheme="minorHAnsi"/>
                <w:b/>
                <w:bCs/>
                <w:color w:val="000000"/>
                <w:sz w:val="18"/>
                <w:szCs w:val="18"/>
              </w:rPr>
            </w:pPr>
            <w:r w:rsidRPr="00FB7B09">
              <w:rPr>
                <w:rFonts w:eastAsia="Times New Roman" w:cstheme="minorHAnsi"/>
                <w:b/>
                <w:bCs/>
                <w:color w:val="000000"/>
                <w:sz w:val="18"/>
                <w:szCs w:val="18"/>
              </w:rPr>
              <w:t>Revenue (Total)</w:t>
            </w:r>
          </w:p>
        </w:tc>
        <w:tc>
          <w:tcPr>
            <w:tcW w:w="1701"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b/>
                <w:bCs/>
                <w:color w:val="000000"/>
                <w:sz w:val="18"/>
                <w:szCs w:val="18"/>
              </w:rPr>
            </w:pPr>
            <w:r w:rsidRPr="00FB7B09">
              <w:rPr>
                <w:rFonts w:eastAsia="Times New Roman" w:cstheme="minorHAnsi"/>
                <w:b/>
                <w:bCs/>
                <w:color w:val="000000"/>
                <w:sz w:val="18"/>
                <w:szCs w:val="18"/>
              </w:rPr>
              <w:t xml:space="preserve">  8,380,103,193.00 </w:t>
            </w:r>
          </w:p>
        </w:tc>
        <w:tc>
          <w:tcPr>
            <w:tcW w:w="1843"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b/>
                <w:bCs/>
                <w:color w:val="000000"/>
                <w:sz w:val="18"/>
                <w:szCs w:val="18"/>
              </w:rPr>
            </w:pPr>
            <w:r w:rsidRPr="00FB7B09">
              <w:rPr>
                <w:rFonts w:eastAsia="Times New Roman" w:cstheme="minorHAnsi"/>
                <w:b/>
                <w:bCs/>
                <w:color w:val="000000"/>
                <w:sz w:val="18"/>
                <w:szCs w:val="18"/>
              </w:rPr>
              <w:t xml:space="preserve">     9,331,541,484.00 </w:t>
            </w:r>
          </w:p>
        </w:tc>
        <w:tc>
          <w:tcPr>
            <w:tcW w:w="1701"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b/>
                <w:bCs/>
                <w:color w:val="000000"/>
                <w:sz w:val="18"/>
                <w:szCs w:val="18"/>
              </w:rPr>
            </w:pPr>
            <w:r w:rsidRPr="00FB7B09">
              <w:rPr>
                <w:rFonts w:eastAsia="Times New Roman" w:cstheme="minorHAnsi"/>
                <w:b/>
                <w:bCs/>
                <w:color w:val="000000"/>
                <w:sz w:val="18"/>
                <w:szCs w:val="18"/>
              </w:rPr>
              <w:t xml:space="preserve"> 7,514,180,313.00 </w:t>
            </w:r>
          </w:p>
        </w:tc>
        <w:tc>
          <w:tcPr>
            <w:tcW w:w="1134"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b/>
                <w:bCs/>
                <w:color w:val="000000"/>
                <w:sz w:val="18"/>
                <w:szCs w:val="18"/>
              </w:rPr>
            </w:pPr>
            <w:r w:rsidRPr="00FB7B09">
              <w:rPr>
                <w:rFonts w:eastAsia="Times New Roman" w:cstheme="minorHAnsi"/>
                <w:b/>
                <w:bCs/>
                <w:color w:val="000000"/>
                <w:sz w:val="18"/>
                <w:szCs w:val="18"/>
              </w:rPr>
              <w:t>-24.19%</w:t>
            </w:r>
          </w:p>
        </w:tc>
        <w:tc>
          <w:tcPr>
            <w:tcW w:w="992"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b/>
                <w:bCs/>
                <w:color w:val="000000"/>
                <w:sz w:val="18"/>
                <w:szCs w:val="18"/>
              </w:rPr>
            </w:pPr>
            <w:r w:rsidRPr="00FB7B09">
              <w:rPr>
                <w:rFonts w:eastAsia="Times New Roman" w:cstheme="minorHAnsi"/>
                <w:b/>
                <w:bCs/>
                <w:color w:val="000000"/>
                <w:sz w:val="18"/>
                <w:szCs w:val="18"/>
              </w:rPr>
              <w:t>-11.52%</w:t>
            </w:r>
          </w:p>
        </w:tc>
      </w:tr>
      <w:tr w:rsidR="00FB7B09" w:rsidRPr="00FB7B09" w:rsidTr="00FB7B09">
        <w:trPr>
          <w:trHeight w:val="29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rPr>
                <w:rFonts w:eastAsia="Times New Roman" w:cstheme="minorHAnsi"/>
                <w:color w:val="000000"/>
                <w:sz w:val="18"/>
                <w:szCs w:val="18"/>
              </w:rPr>
            </w:pPr>
            <w:r w:rsidRPr="00FB7B09">
              <w:rPr>
                <w:rFonts w:eastAsia="Times New Roman" w:cstheme="minorHAnsi"/>
                <w:color w:val="000000"/>
                <w:sz w:val="18"/>
                <w:szCs w:val="18"/>
              </w:rPr>
              <w:t>Equitable Share Allocation</w:t>
            </w:r>
          </w:p>
        </w:tc>
        <w:tc>
          <w:tcPr>
            <w:tcW w:w="1701"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color w:val="000000"/>
                <w:sz w:val="18"/>
                <w:szCs w:val="18"/>
              </w:rPr>
            </w:pPr>
            <w:r w:rsidRPr="00FB7B09">
              <w:rPr>
                <w:rFonts w:eastAsia="Times New Roman" w:cstheme="minorHAnsi"/>
                <w:color w:val="000000"/>
                <w:sz w:val="18"/>
                <w:szCs w:val="18"/>
              </w:rPr>
              <w:t xml:space="preserve">   6,779,873,100.00 </w:t>
            </w:r>
          </w:p>
        </w:tc>
        <w:tc>
          <w:tcPr>
            <w:tcW w:w="1843"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color w:val="000000"/>
                <w:sz w:val="18"/>
                <w:szCs w:val="18"/>
              </w:rPr>
            </w:pPr>
            <w:r w:rsidRPr="00FB7B09">
              <w:rPr>
                <w:rFonts w:eastAsia="Times New Roman" w:cstheme="minorHAnsi"/>
                <w:color w:val="000000"/>
                <w:sz w:val="18"/>
                <w:szCs w:val="18"/>
              </w:rPr>
              <w:t xml:space="preserve">      7,277,004,032.00 </w:t>
            </w:r>
          </w:p>
        </w:tc>
        <w:tc>
          <w:tcPr>
            <w:tcW w:w="1701"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color w:val="000000"/>
                <w:sz w:val="18"/>
                <w:szCs w:val="18"/>
              </w:rPr>
            </w:pPr>
            <w:r w:rsidRPr="00FB7B09">
              <w:rPr>
                <w:rFonts w:eastAsia="Times New Roman" w:cstheme="minorHAnsi"/>
                <w:color w:val="000000"/>
                <w:sz w:val="18"/>
                <w:szCs w:val="18"/>
              </w:rPr>
              <w:t xml:space="preserve">  6,694,843,713.00 </w:t>
            </w:r>
          </w:p>
        </w:tc>
        <w:tc>
          <w:tcPr>
            <w:tcW w:w="1134"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color w:val="000000"/>
                <w:sz w:val="18"/>
                <w:szCs w:val="18"/>
              </w:rPr>
            </w:pPr>
            <w:r w:rsidRPr="00FB7B09">
              <w:rPr>
                <w:rFonts w:eastAsia="Times New Roman" w:cstheme="minorHAnsi"/>
                <w:color w:val="000000"/>
                <w:sz w:val="18"/>
                <w:szCs w:val="18"/>
              </w:rPr>
              <w:t>-8.70%</w:t>
            </w:r>
          </w:p>
        </w:tc>
        <w:tc>
          <w:tcPr>
            <w:tcW w:w="992"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color w:val="000000"/>
                <w:sz w:val="18"/>
                <w:szCs w:val="18"/>
              </w:rPr>
            </w:pPr>
            <w:r w:rsidRPr="00FB7B09">
              <w:rPr>
                <w:rFonts w:eastAsia="Times New Roman" w:cstheme="minorHAnsi"/>
                <w:color w:val="000000"/>
                <w:sz w:val="18"/>
                <w:szCs w:val="18"/>
              </w:rPr>
              <w:t>-1.27%</w:t>
            </w:r>
          </w:p>
        </w:tc>
      </w:tr>
      <w:tr w:rsidR="00FB7B09" w:rsidRPr="00FB7B09" w:rsidTr="00FB7B09">
        <w:trPr>
          <w:trHeight w:val="29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rPr>
                <w:rFonts w:eastAsia="Times New Roman" w:cstheme="minorHAnsi"/>
                <w:color w:val="000000"/>
                <w:sz w:val="18"/>
                <w:szCs w:val="18"/>
              </w:rPr>
            </w:pPr>
            <w:r w:rsidRPr="00FB7B09">
              <w:rPr>
                <w:rFonts w:eastAsia="Times New Roman" w:cstheme="minorHAnsi"/>
                <w:color w:val="000000"/>
                <w:sz w:val="18"/>
                <w:szCs w:val="18"/>
              </w:rPr>
              <w:t>Local Revenue</w:t>
            </w:r>
          </w:p>
        </w:tc>
        <w:tc>
          <w:tcPr>
            <w:tcW w:w="1701"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color w:val="000000"/>
                <w:sz w:val="18"/>
                <w:szCs w:val="18"/>
              </w:rPr>
            </w:pPr>
            <w:r w:rsidRPr="00FB7B09">
              <w:rPr>
                <w:rFonts w:eastAsia="Times New Roman" w:cstheme="minorHAnsi"/>
                <w:color w:val="000000"/>
                <w:sz w:val="18"/>
                <w:szCs w:val="18"/>
              </w:rPr>
              <w:t xml:space="preserve">      110,368,253.00 </w:t>
            </w:r>
          </w:p>
        </w:tc>
        <w:tc>
          <w:tcPr>
            <w:tcW w:w="1843"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color w:val="000000"/>
                <w:sz w:val="18"/>
                <w:szCs w:val="18"/>
              </w:rPr>
            </w:pPr>
            <w:r w:rsidRPr="00FB7B09">
              <w:rPr>
                <w:rFonts w:eastAsia="Times New Roman" w:cstheme="minorHAnsi"/>
                <w:color w:val="000000"/>
                <w:sz w:val="18"/>
                <w:szCs w:val="18"/>
              </w:rPr>
              <w:t xml:space="preserve">         170,000,000.00 </w:t>
            </w:r>
          </w:p>
        </w:tc>
        <w:tc>
          <w:tcPr>
            <w:tcW w:w="1701"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color w:val="000000"/>
                <w:sz w:val="18"/>
                <w:szCs w:val="18"/>
              </w:rPr>
            </w:pPr>
            <w:r w:rsidRPr="00FB7B09">
              <w:rPr>
                <w:rFonts w:eastAsia="Times New Roman" w:cstheme="minorHAnsi"/>
                <w:color w:val="000000"/>
                <w:sz w:val="18"/>
                <w:szCs w:val="18"/>
              </w:rPr>
              <w:t xml:space="preserve">       99,563,452.00 </w:t>
            </w:r>
          </w:p>
        </w:tc>
        <w:tc>
          <w:tcPr>
            <w:tcW w:w="1134"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color w:val="000000"/>
                <w:sz w:val="18"/>
                <w:szCs w:val="18"/>
              </w:rPr>
            </w:pPr>
            <w:r w:rsidRPr="00FB7B09">
              <w:rPr>
                <w:rFonts w:eastAsia="Times New Roman" w:cstheme="minorHAnsi"/>
                <w:color w:val="000000"/>
                <w:sz w:val="18"/>
                <w:szCs w:val="18"/>
              </w:rPr>
              <w:t>-70.75%</w:t>
            </w:r>
          </w:p>
        </w:tc>
        <w:tc>
          <w:tcPr>
            <w:tcW w:w="992"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color w:val="000000"/>
                <w:sz w:val="18"/>
                <w:szCs w:val="18"/>
              </w:rPr>
            </w:pPr>
            <w:r w:rsidRPr="00FB7B09">
              <w:rPr>
                <w:rFonts w:eastAsia="Times New Roman" w:cstheme="minorHAnsi"/>
                <w:color w:val="000000"/>
                <w:sz w:val="18"/>
                <w:szCs w:val="18"/>
              </w:rPr>
              <w:t>-10.85%</w:t>
            </w:r>
          </w:p>
        </w:tc>
      </w:tr>
      <w:tr w:rsidR="00FB7B09" w:rsidRPr="00FB7B09" w:rsidTr="00FB7B09">
        <w:trPr>
          <w:trHeight w:val="29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rPr>
                <w:rFonts w:eastAsia="Times New Roman" w:cstheme="minorHAnsi"/>
                <w:color w:val="000000"/>
                <w:sz w:val="18"/>
                <w:szCs w:val="18"/>
              </w:rPr>
            </w:pPr>
            <w:r w:rsidRPr="00FB7B09">
              <w:rPr>
                <w:rFonts w:eastAsia="Times New Roman" w:cstheme="minorHAnsi"/>
                <w:color w:val="000000"/>
                <w:sz w:val="18"/>
                <w:szCs w:val="18"/>
              </w:rPr>
              <w:t>Grants (Total)</w:t>
            </w:r>
          </w:p>
        </w:tc>
        <w:tc>
          <w:tcPr>
            <w:tcW w:w="1701"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color w:val="000000"/>
                <w:sz w:val="18"/>
                <w:szCs w:val="18"/>
              </w:rPr>
            </w:pPr>
            <w:r w:rsidRPr="00FB7B09">
              <w:rPr>
                <w:rFonts w:eastAsia="Times New Roman" w:cstheme="minorHAnsi"/>
                <w:color w:val="000000"/>
                <w:sz w:val="18"/>
                <w:szCs w:val="18"/>
              </w:rPr>
              <w:t xml:space="preserve">      911,047,791.00 </w:t>
            </w:r>
          </w:p>
        </w:tc>
        <w:tc>
          <w:tcPr>
            <w:tcW w:w="1843"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color w:val="000000"/>
                <w:sz w:val="18"/>
                <w:szCs w:val="18"/>
              </w:rPr>
            </w:pPr>
            <w:r w:rsidRPr="00FB7B09">
              <w:rPr>
                <w:rFonts w:eastAsia="Times New Roman" w:cstheme="minorHAnsi"/>
                <w:color w:val="000000"/>
                <w:sz w:val="18"/>
                <w:szCs w:val="18"/>
              </w:rPr>
              <w:t xml:space="preserve">      1,308,160,502.00 </w:t>
            </w:r>
          </w:p>
        </w:tc>
        <w:tc>
          <w:tcPr>
            <w:tcW w:w="1701"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color w:val="000000"/>
                <w:sz w:val="18"/>
                <w:szCs w:val="18"/>
              </w:rPr>
            </w:pPr>
            <w:r w:rsidRPr="00FB7B09">
              <w:rPr>
                <w:rFonts w:eastAsia="Times New Roman" w:cstheme="minorHAnsi"/>
                <w:color w:val="000000"/>
                <w:sz w:val="18"/>
                <w:szCs w:val="18"/>
              </w:rPr>
              <w:t xml:space="preserve">     143,396,198.00 </w:t>
            </w:r>
          </w:p>
        </w:tc>
        <w:tc>
          <w:tcPr>
            <w:tcW w:w="1134"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color w:val="000000"/>
                <w:sz w:val="18"/>
                <w:szCs w:val="18"/>
              </w:rPr>
            </w:pPr>
            <w:r w:rsidRPr="00FB7B09">
              <w:rPr>
                <w:rFonts w:eastAsia="Times New Roman" w:cstheme="minorHAnsi"/>
                <w:color w:val="000000"/>
                <w:sz w:val="18"/>
                <w:szCs w:val="18"/>
              </w:rPr>
              <w:t>-812.27%</w:t>
            </w:r>
          </w:p>
        </w:tc>
        <w:tc>
          <w:tcPr>
            <w:tcW w:w="992"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color w:val="000000"/>
                <w:sz w:val="18"/>
                <w:szCs w:val="18"/>
              </w:rPr>
            </w:pPr>
            <w:r w:rsidRPr="00FB7B09">
              <w:rPr>
                <w:rFonts w:eastAsia="Times New Roman" w:cstheme="minorHAnsi"/>
                <w:color w:val="000000"/>
                <w:sz w:val="18"/>
                <w:szCs w:val="18"/>
              </w:rPr>
              <w:t>-535.34%</w:t>
            </w:r>
          </w:p>
        </w:tc>
      </w:tr>
      <w:tr w:rsidR="00FB7B09" w:rsidRPr="00FB7B09" w:rsidTr="00FB7B09">
        <w:trPr>
          <w:trHeight w:val="29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rPr>
                <w:rFonts w:eastAsia="Times New Roman" w:cstheme="minorHAnsi"/>
                <w:b/>
                <w:bCs/>
                <w:color w:val="000000"/>
                <w:sz w:val="18"/>
                <w:szCs w:val="18"/>
              </w:rPr>
            </w:pPr>
            <w:r w:rsidRPr="00FB7B09">
              <w:rPr>
                <w:rFonts w:eastAsia="Times New Roman" w:cstheme="minorHAnsi"/>
                <w:b/>
                <w:bCs/>
                <w:color w:val="000000"/>
                <w:sz w:val="18"/>
                <w:szCs w:val="18"/>
              </w:rPr>
              <w:t>TOTAL REVENUE &amp; GANTS</w:t>
            </w:r>
          </w:p>
        </w:tc>
        <w:tc>
          <w:tcPr>
            <w:tcW w:w="1701"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b/>
                <w:bCs/>
                <w:color w:val="000000"/>
                <w:sz w:val="18"/>
                <w:szCs w:val="18"/>
              </w:rPr>
            </w:pPr>
            <w:r w:rsidRPr="00FB7B09">
              <w:rPr>
                <w:rFonts w:eastAsia="Times New Roman" w:cstheme="minorHAnsi"/>
                <w:b/>
                <w:bCs/>
                <w:color w:val="000000"/>
                <w:sz w:val="18"/>
                <w:szCs w:val="18"/>
              </w:rPr>
              <w:t xml:space="preserve">  7,801,289,144.00 </w:t>
            </w:r>
          </w:p>
        </w:tc>
        <w:tc>
          <w:tcPr>
            <w:tcW w:w="1843"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b/>
                <w:bCs/>
                <w:color w:val="000000"/>
                <w:sz w:val="18"/>
                <w:szCs w:val="18"/>
              </w:rPr>
            </w:pPr>
            <w:r w:rsidRPr="00FB7B09">
              <w:rPr>
                <w:rFonts w:eastAsia="Times New Roman" w:cstheme="minorHAnsi"/>
                <w:b/>
                <w:bCs/>
                <w:color w:val="000000"/>
                <w:sz w:val="18"/>
                <w:szCs w:val="18"/>
              </w:rPr>
              <w:t xml:space="preserve">     8,755,164,534.00 </w:t>
            </w:r>
          </w:p>
        </w:tc>
        <w:tc>
          <w:tcPr>
            <w:tcW w:w="1701"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b/>
                <w:bCs/>
                <w:color w:val="000000"/>
                <w:sz w:val="18"/>
                <w:szCs w:val="18"/>
              </w:rPr>
            </w:pPr>
            <w:r w:rsidRPr="00FB7B09">
              <w:rPr>
                <w:rFonts w:eastAsia="Times New Roman" w:cstheme="minorHAnsi"/>
                <w:b/>
                <w:bCs/>
                <w:color w:val="000000"/>
                <w:sz w:val="18"/>
                <w:szCs w:val="18"/>
              </w:rPr>
              <w:t xml:space="preserve"> 6,937,803,363.00 </w:t>
            </w:r>
          </w:p>
        </w:tc>
        <w:tc>
          <w:tcPr>
            <w:tcW w:w="1134"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b/>
                <w:bCs/>
                <w:color w:val="000000"/>
                <w:sz w:val="18"/>
                <w:szCs w:val="18"/>
              </w:rPr>
            </w:pPr>
            <w:r w:rsidRPr="00FB7B09">
              <w:rPr>
                <w:rFonts w:eastAsia="Times New Roman" w:cstheme="minorHAnsi"/>
                <w:b/>
                <w:bCs/>
                <w:color w:val="000000"/>
                <w:sz w:val="18"/>
                <w:szCs w:val="18"/>
              </w:rPr>
              <w:t>-26.20%</w:t>
            </w:r>
          </w:p>
        </w:tc>
        <w:tc>
          <w:tcPr>
            <w:tcW w:w="992"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b/>
                <w:bCs/>
                <w:color w:val="000000"/>
                <w:sz w:val="18"/>
                <w:szCs w:val="18"/>
              </w:rPr>
            </w:pPr>
            <w:r w:rsidRPr="00FB7B09">
              <w:rPr>
                <w:rFonts w:eastAsia="Times New Roman" w:cstheme="minorHAnsi"/>
                <w:b/>
                <w:bCs/>
                <w:color w:val="000000"/>
                <w:sz w:val="18"/>
                <w:szCs w:val="18"/>
              </w:rPr>
              <w:t>-12.45%</w:t>
            </w:r>
          </w:p>
        </w:tc>
      </w:tr>
      <w:tr w:rsidR="00FB7B09" w:rsidRPr="00FB7B09" w:rsidTr="00FB7B09">
        <w:trPr>
          <w:trHeight w:hRule="exact" w:val="29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rPr>
                <w:rFonts w:eastAsia="Times New Roman" w:cstheme="minorHAnsi"/>
                <w:b/>
                <w:bCs/>
                <w:color w:val="000000"/>
                <w:sz w:val="18"/>
                <w:szCs w:val="18"/>
              </w:rPr>
            </w:pPr>
            <w:r w:rsidRPr="00FB7B09">
              <w:rPr>
                <w:rFonts w:eastAsia="Times New Roman" w:cstheme="minorHAnsi"/>
                <w:b/>
                <w:bCs/>
                <w:color w:val="000000"/>
                <w:sz w:val="18"/>
                <w:szCs w:val="18"/>
              </w:rPr>
              <w:t>Total Expenditure</w:t>
            </w:r>
          </w:p>
        </w:tc>
        <w:tc>
          <w:tcPr>
            <w:tcW w:w="1701"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b/>
                <w:bCs/>
                <w:color w:val="000000"/>
                <w:sz w:val="18"/>
                <w:szCs w:val="18"/>
              </w:rPr>
            </w:pPr>
            <w:r w:rsidRPr="00FB7B09">
              <w:rPr>
                <w:rFonts w:eastAsia="Times New Roman" w:cstheme="minorHAnsi"/>
                <w:b/>
                <w:bCs/>
                <w:color w:val="000000"/>
                <w:sz w:val="18"/>
                <w:szCs w:val="18"/>
              </w:rPr>
              <w:t xml:space="preserve">  7,203,307,455.00 </w:t>
            </w:r>
          </w:p>
        </w:tc>
        <w:tc>
          <w:tcPr>
            <w:tcW w:w="1843"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b/>
                <w:bCs/>
                <w:color w:val="000000"/>
                <w:sz w:val="18"/>
                <w:szCs w:val="18"/>
              </w:rPr>
            </w:pPr>
            <w:r w:rsidRPr="00FB7B09">
              <w:rPr>
                <w:rFonts w:eastAsia="Times New Roman" w:cstheme="minorHAnsi"/>
                <w:b/>
                <w:bCs/>
                <w:color w:val="000000"/>
                <w:sz w:val="18"/>
                <w:szCs w:val="18"/>
              </w:rPr>
              <w:t xml:space="preserve">     9,331,541,484.00 </w:t>
            </w:r>
          </w:p>
        </w:tc>
        <w:tc>
          <w:tcPr>
            <w:tcW w:w="1701"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b/>
                <w:bCs/>
                <w:color w:val="000000"/>
                <w:sz w:val="18"/>
                <w:szCs w:val="18"/>
              </w:rPr>
            </w:pPr>
            <w:r w:rsidRPr="00FB7B09">
              <w:rPr>
                <w:rFonts w:eastAsia="Times New Roman" w:cstheme="minorHAnsi"/>
                <w:b/>
                <w:bCs/>
                <w:color w:val="000000"/>
                <w:sz w:val="18"/>
                <w:szCs w:val="18"/>
              </w:rPr>
              <w:t xml:space="preserve"> 7,760,021,558.00 </w:t>
            </w:r>
          </w:p>
        </w:tc>
        <w:tc>
          <w:tcPr>
            <w:tcW w:w="1134"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b/>
                <w:bCs/>
                <w:color w:val="000000"/>
                <w:sz w:val="18"/>
                <w:szCs w:val="18"/>
              </w:rPr>
            </w:pPr>
            <w:r w:rsidRPr="00FB7B09">
              <w:rPr>
                <w:rFonts w:eastAsia="Times New Roman" w:cstheme="minorHAnsi"/>
                <w:b/>
                <w:bCs/>
                <w:color w:val="000000"/>
                <w:sz w:val="18"/>
                <w:szCs w:val="18"/>
              </w:rPr>
              <w:t>-20.25%</w:t>
            </w:r>
          </w:p>
        </w:tc>
        <w:tc>
          <w:tcPr>
            <w:tcW w:w="992"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b/>
                <w:bCs/>
                <w:color w:val="000000"/>
                <w:sz w:val="18"/>
                <w:szCs w:val="18"/>
              </w:rPr>
            </w:pPr>
            <w:r w:rsidRPr="00FB7B09">
              <w:rPr>
                <w:rFonts w:eastAsia="Times New Roman" w:cstheme="minorHAnsi"/>
                <w:b/>
                <w:bCs/>
                <w:color w:val="000000"/>
                <w:sz w:val="18"/>
                <w:szCs w:val="18"/>
              </w:rPr>
              <w:t>7.17%</w:t>
            </w:r>
          </w:p>
        </w:tc>
      </w:tr>
      <w:tr w:rsidR="00FB7B09" w:rsidRPr="00FB7B09" w:rsidTr="00FB7B09">
        <w:trPr>
          <w:trHeight w:val="29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rPr>
                <w:rFonts w:eastAsia="Times New Roman" w:cstheme="minorHAnsi"/>
                <w:color w:val="000000"/>
                <w:sz w:val="18"/>
                <w:szCs w:val="18"/>
              </w:rPr>
            </w:pPr>
            <w:r w:rsidRPr="00FB7B09">
              <w:rPr>
                <w:rFonts w:eastAsia="Times New Roman" w:cstheme="minorHAnsi"/>
                <w:color w:val="000000"/>
                <w:sz w:val="18"/>
                <w:szCs w:val="18"/>
              </w:rPr>
              <w:t>Recurrent</w:t>
            </w:r>
          </w:p>
        </w:tc>
        <w:tc>
          <w:tcPr>
            <w:tcW w:w="1701"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color w:val="000000"/>
                <w:sz w:val="18"/>
                <w:szCs w:val="18"/>
              </w:rPr>
            </w:pPr>
            <w:r w:rsidRPr="00FB7B09">
              <w:rPr>
                <w:rFonts w:eastAsia="Times New Roman" w:cstheme="minorHAnsi"/>
                <w:color w:val="000000"/>
                <w:sz w:val="18"/>
                <w:szCs w:val="18"/>
              </w:rPr>
              <w:t xml:space="preserve">   3,764,875,624.00 </w:t>
            </w:r>
          </w:p>
        </w:tc>
        <w:tc>
          <w:tcPr>
            <w:tcW w:w="1843"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color w:val="000000"/>
                <w:sz w:val="18"/>
                <w:szCs w:val="18"/>
              </w:rPr>
            </w:pPr>
            <w:r w:rsidRPr="00FB7B09">
              <w:rPr>
                <w:rFonts w:eastAsia="Times New Roman" w:cstheme="minorHAnsi"/>
                <w:color w:val="000000"/>
                <w:sz w:val="18"/>
                <w:szCs w:val="18"/>
              </w:rPr>
              <w:t xml:space="preserve">      4,745,539,032.00 </w:t>
            </w:r>
          </w:p>
        </w:tc>
        <w:tc>
          <w:tcPr>
            <w:tcW w:w="1701"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color w:val="000000"/>
                <w:sz w:val="18"/>
                <w:szCs w:val="18"/>
              </w:rPr>
            </w:pPr>
            <w:r w:rsidRPr="00FB7B09">
              <w:rPr>
                <w:rFonts w:eastAsia="Times New Roman" w:cstheme="minorHAnsi"/>
                <w:color w:val="000000"/>
                <w:sz w:val="18"/>
                <w:szCs w:val="18"/>
              </w:rPr>
              <w:t xml:space="preserve">  4,514,823,509.00 </w:t>
            </w:r>
          </w:p>
        </w:tc>
        <w:tc>
          <w:tcPr>
            <w:tcW w:w="1134"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color w:val="000000"/>
                <w:sz w:val="18"/>
                <w:szCs w:val="18"/>
              </w:rPr>
            </w:pPr>
            <w:r w:rsidRPr="00FB7B09">
              <w:rPr>
                <w:rFonts w:eastAsia="Times New Roman" w:cstheme="minorHAnsi"/>
                <w:color w:val="000000"/>
                <w:sz w:val="18"/>
                <w:szCs w:val="18"/>
              </w:rPr>
              <w:t>-5.11%</w:t>
            </w:r>
          </w:p>
        </w:tc>
        <w:tc>
          <w:tcPr>
            <w:tcW w:w="992"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color w:val="000000"/>
                <w:sz w:val="18"/>
                <w:szCs w:val="18"/>
              </w:rPr>
            </w:pPr>
            <w:r w:rsidRPr="00FB7B09">
              <w:rPr>
                <w:rFonts w:eastAsia="Times New Roman" w:cstheme="minorHAnsi"/>
                <w:color w:val="000000"/>
                <w:sz w:val="18"/>
                <w:szCs w:val="18"/>
              </w:rPr>
              <w:t>16.61%</w:t>
            </w:r>
          </w:p>
        </w:tc>
      </w:tr>
      <w:tr w:rsidR="00FB7B09" w:rsidRPr="00FB7B09" w:rsidTr="00FB7B09">
        <w:trPr>
          <w:trHeight w:val="29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rPr>
                <w:rFonts w:eastAsia="Times New Roman" w:cstheme="minorHAnsi"/>
                <w:color w:val="000000"/>
                <w:sz w:val="18"/>
                <w:szCs w:val="18"/>
              </w:rPr>
            </w:pPr>
            <w:r w:rsidRPr="00FB7B09">
              <w:rPr>
                <w:rFonts w:eastAsia="Times New Roman" w:cstheme="minorHAnsi"/>
                <w:color w:val="000000"/>
                <w:sz w:val="18"/>
                <w:szCs w:val="18"/>
              </w:rPr>
              <w:t>Development</w:t>
            </w:r>
          </w:p>
        </w:tc>
        <w:tc>
          <w:tcPr>
            <w:tcW w:w="1701"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color w:val="000000"/>
                <w:sz w:val="18"/>
                <w:szCs w:val="18"/>
              </w:rPr>
            </w:pPr>
            <w:r w:rsidRPr="00FB7B09">
              <w:rPr>
                <w:rFonts w:eastAsia="Times New Roman" w:cstheme="minorHAnsi"/>
                <w:color w:val="000000"/>
                <w:sz w:val="18"/>
                <w:szCs w:val="18"/>
              </w:rPr>
              <w:t xml:space="preserve">   3,438,431,831.00 </w:t>
            </w:r>
          </w:p>
        </w:tc>
        <w:tc>
          <w:tcPr>
            <w:tcW w:w="1843"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color w:val="000000"/>
                <w:sz w:val="18"/>
                <w:szCs w:val="18"/>
              </w:rPr>
            </w:pPr>
            <w:r w:rsidRPr="00FB7B09">
              <w:rPr>
                <w:rFonts w:eastAsia="Times New Roman" w:cstheme="minorHAnsi"/>
                <w:color w:val="000000"/>
                <w:sz w:val="18"/>
                <w:szCs w:val="18"/>
              </w:rPr>
              <w:t xml:space="preserve">      4,586,002,452.00 </w:t>
            </w:r>
          </w:p>
        </w:tc>
        <w:tc>
          <w:tcPr>
            <w:tcW w:w="1701"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color w:val="000000"/>
                <w:sz w:val="18"/>
                <w:szCs w:val="18"/>
              </w:rPr>
            </w:pPr>
            <w:r w:rsidRPr="00FB7B09">
              <w:rPr>
                <w:rFonts w:eastAsia="Times New Roman" w:cstheme="minorHAnsi"/>
                <w:color w:val="000000"/>
                <w:sz w:val="18"/>
                <w:szCs w:val="18"/>
              </w:rPr>
              <w:t xml:space="preserve">  3,245,198,049.00 </w:t>
            </w:r>
          </w:p>
        </w:tc>
        <w:tc>
          <w:tcPr>
            <w:tcW w:w="1134"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color w:val="000000"/>
                <w:sz w:val="18"/>
                <w:szCs w:val="18"/>
              </w:rPr>
            </w:pPr>
            <w:r w:rsidRPr="00FB7B09">
              <w:rPr>
                <w:rFonts w:eastAsia="Times New Roman" w:cstheme="minorHAnsi"/>
                <w:color w:val="000000"/>
                <w:sz w:val="18"/>
                <w:szCs w:val="18"/>
              </w:rPr>
              <w:t>-41.32%</w:t>
            </w:r>
          </w:p>
        </w:tc>
        <w:tc>
          <w:tcPr>
            <w:tcW w:w="992"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color w:val="000000"/>
                <w:sz w:val="18"/>
                <w:szCs w:val="18"/>
              </w:rPr>
            </w:pPr>
            <w:r w:rsidRPr="00FB7B09">
              <w:rPr>
                <w:rFonts w:eastAsia="Times New Roman" w:cstheme="minorHAnsi"/>
                <w:color w:val="000000"/>
                <w:sz w:val="18"/>
                <w:szCs w:val="18"/>
              </w:rPr>
              <w:t>-5.95%</w:t>
            </w:r>
          </w:p>
        </w:tc>
      </w:tr>
      <w:tr w:rsidR="00FB7B09" w:rsidRPr="00FB7B09" w:rsidTr="00FB7B09">
        <w:trPr>
          <w:trHeight w:val="29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rPr>
                <w:rFonts w:eastAsia="Times New Roman" w:cstheme="minorHAnsi"/>
                <w:color w:val="000000"/>
                <w:sz w:val="18"/>
                <w:szCs w:val="18"/>
              </w:rPr>
            </w:pPr>
            <w:r w:rsidRPr="00FB7B09">
              <w:rPr>
                <w:rFonts w:eastAsia="Times New Roman" w:cstheme="minorHAnsi"/>
                <w:color w:val="000000"/>
                <w:sz w:val="18"/>
                <w:szCs w:val="18"/>
              </w:rPr>
              <w:t>Pending bills</w:t>
            </w:r>
          </w:p>
        </w:tc>
        <w:tc>
          <w:tcPr>
            <w:tcW w:w="1701"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color w:val="000000"/>
                <w:sz w:val="18"/>
                <w:szCs w:val="18"/>
              </w:rPr>
            </w:pPr>
            <w:r w:rsidRPr="00FB7B09">
              <w:rPr>
                <w:rFonts w:eastAsia="Times New Roman" w:cstheme="minorHAnsi"/>
                <w:color w:val="000000"/>
                <w:sz w:val="18"/>
                <w:szCs w:val="18"/>
              </w:rPr>
              <w:t xml:space="preserve">      600,418,788.00 </w:t>
            </w:r>
          </w:p>
        </w:tc>
        <w:tc>
          <w:tcPr>
            <w:tcW w:w="1843"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color w:val="000000"/>
                <w:sz w:val="18"/>
                <w:szCs w:val="18"/>
              </w:rPr>
            </w:pPr>
            <w:r w:rsidRPr="00FB7B09">
              <w:rPr>
                <w:rFonts w:eastAsia="Times New Roman" w:cstheme="minorHAnsi"/>
                <w:color w:val="000000"/>
                <w:sz w:val="18"/>
                <w:szCs w:val="18"/>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color w:val="000000"/>
                <w:sz w:val="18"/>
                <w:szCs w:val="18"/>
              </w:rPr>
            </w:pPr>
            <w:r w:rsidRPr="00FB7B09">
              <w:rPr>
                <w:rFonts w:eastAsia="Times New Roman" w:cstheme="minorHAnsi"/>
                <w:color w:val="000000"/>
                <w:sz w:val="18"/>
                <w:szCs w:val="18"/>
              </w:rPr>
              <w:t xml:space="preserve">     755,763,127.44 </w:t>
            </w:r>
          </w:p>
        </w:tc>
        <w:tc>
          <w:tcPr>
            <w:tcW w:w="1134"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color w:val="000000"/>
                <w:sz w:val="18"/>
                <w:szCs w:val="18"/>
              </w:rPr>
            </w:pPr>
            <w:r w:rsidRPr="00FB7B09">
              <w:rPr>
                <w:rFonts w:eastAsia="Times New Roman" w:cstheme="minorHAnsi"/>
                <w:color w:val="000000"/>
                <w:sz w:val="18"/>
                <w:szCs w:val="18"/>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color w:val="000000"/>
                <w:sz w:val="18"/>
                <w:szCs w:val="18"/>
              </w:rPr>
            </w:pPr>
            <w:r w:rsidRPr="00FB7B09">
              <w:rPr>
                <w:rFonts w:eastAsia="Times New Roman" w:cstheme="minorHAnsi"/>
                <w:color w:val="000000"/>
                <w:sz w:val="18"/>
                <w:szCs w:val="18"/>
              </w:rPr>
              <w:t>20.55%</w:t>
            </w:r>
          </w:p>
        </w:tc>
      </w:tr>
      <w:tr w:rsidR="00FB7B09" w:rsidRPr="00FB7B09" w:rsidTr="00FB7B09">
        <w:trPr>
          <w:trHeight w:val="29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rPr>
                <w:rFonts w:eastAsia="Times New Roman" w:cstheme="minorHAnsi"/>
                <w:color w:val="000000"/>
                <w:sz w:val="18"/>
                <w:szCs w:val="18"/>
              </w:rPr>
            </w:pPr>
            <w:r w:rsidRPr="00FB7B09">
              <w:rPr>
                <w:rFonts w:eastAsia="Times New Roman" w:cstheme="minorHAnsi"/>
                <w:color w:val="000000"/>
                <w:sz w:val="18"/>
                <w:szCs w:val="18"/>
              </w:rPr>
              <w:t>Unspent Bal Current FY</w:t>
            </w:r>
          </w:p>
        </w:tc>
        <w:tc>
          <w:tcPr>
            <w:tcW w:w="1701"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rPr>
                <w:rFonts w:eastAsia="Times New Roman" w:cstheme="minorHAnsi"/>
                <w:color w:val="000000"/>
                <w:sz w:val="18"/>
                <w:szCs w:val="18"/>
              </w:rPr>
            </w:pPr>
            <w:r w:rsidRPr="00FB7B09">
              <w:rPr>
                <w:rFonts w:eastAsia="Times New Roman" w:cstheme="minorHAnsi"/>
                <w:color w:val="000000"/>
                <w:sz w:val="18"/>
                <w:szCs w:val="18"/>
              </w:rPr>
              <w:t xml:space="preserve">      576,376,950.00 </w:t>
            </w:r>
          </w:p>
        </w:tc>
        <w:tc>
          <w:tcPr>
            <w:tcW w:w="1843"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rPr>
                <w:rFonts w:eastAsia="Times New Roman" w:cstheme="minorHAnsi"/>
                <w:color w:val="000000"/>
                <w:sz w:val="18"/>
                <w:szCs w:val="18"/>
              </w:rPr>
            </w:pPr>
            <w:r w:rsidRPr="00FB7B09">
              <w:rPr>
                <w:rFonts w:eastAsia="Times New Roman" w:cstheme="minorHAnsi"/>
                <w:color w:val="000000"/>
                <w:sz w:val="18"/>
                <w:szCs w:val="18"/>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rPr>
                <w:rFonts w:eastAsia="Times New Roman" w:cstheme="minorHAnsi"/>
                <w:color w:val="000000"/>
                <w:sz w:val="18"/>
                <w:szCs w:val="18"/>
              </w:rPr>
            </w:pPr>
            <w:r w:rsidRPr="00FB7B09">
              <w:rPr>
                <w:rFonts w:eastAsia="Times New Roman" w:cstheme="minorHAnsi"/>
                <w:color w:val="000000"/>
                <w:sz w:val="18"/>
                <w:szCs w:val="18"/>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color w:val="000000"/>
                <w:sz w:val="18"/>
                <w:szCs w:val="18"/>
              </w:rPr>
            </w:pPr>
            <w:r w:rsidRPr="00FB7B09">
              <w:rPr>
                <w:rFonts w:eastAsia="Times New Roman" w:cstheme="minorHAnsi"/>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FB7B09" w:rsidRPr="00FB7B09" w:rsidRDefault="00FB7B09" w:rsidP="00FB7B09">
            <w:pPr>
              <w:spacing w:after="0" w:line="240" w:lineRule="auto"/>
              <w:jc w:val="right"/>
              <w:rPr>
                <w:rFonts w:eastAsia="Times New Roman" w:cstheme="minorHAnsi"/>
                <w:color w:val="000000"/>
                <w:sz w:val="18"/>
                <w:szCs w:val="18"/>
              </w:rPr>
            </w:pPr>
            <w:r w:rsidRPr="00FB7B09">
              <w:rPr>
                <w:rFonts w:eastAsia="Times New Roman" w:cstheme="minorHAnsi"/>
                <w:color w:val="000000"/>
                <w:sz w:val="18"/>
                <w:szCs w:val="18"/>
              </w:rPr>
              <w:t>0.00%</w:t>
            </w:r>
          </w:p>
        </w:tc>
      </w:tr>
    </w:tbl>
    <w:p w:rsidR="00E402E9" w:rsidRPr="0034609F" w:rsidRDefault="00E402E9" w:rsidP="0034609F">
      <w:pPr>
        <w:pStyle w:val="Heading1"/>
        <w:numPr>
          <w:ilvl w:val="2"/>
          <w:numId w:val="44"/>
        </w:numPr>
        <w:spacing w:before="240" w:after="240" w:line="240" w:lineRule="auto"/>
        <w:ind w:hanging="1224"/>
        <w:rPr>
          <w:color w:val="auto"/>
          <w:sz w:val="24"/>
          <w:szCs w:val="24"/>
        </w:rPr>
      </w:pPr>
      <w:bookmarkStart w:id="24" w:name="_Toc525549616"/>
      <w:r w:rsidRPr="0034609F">
        <w:rPr>
          <w:color w:val="auto"/>
          <w:sz w:val="24"/>
          <w:szCs w:val="24"/>
        </w:rPr>
        <w:t>Revenue Performance</w:t>
      </w:r>
      <w:bookmarkEnd w:id="24"/>
    </w:p>
    <w:p w:rsidR="00F76032" w:rsidRPr="008E58C0" w:rsidRDefault="00136DDC" w:rsidP="00F76032">
      <w:pPr>
        <w:rPr>
          <w:rFonts w:cstheme="minorHAnsi"/>
          <w:sz w:val="24"/>
          <w:szCs w:val="24"/>
        </w:rPr>
      </w:pPr>
      <w:r>
        <w:rPr>
          <w:rFonts w:cstheme="minorHAnsi"/>
          <w:sz w:val="24"/>
          <w:szCs w:val="24"/>
        </w:rPr>
        <w:t>In 2021/22</w:t>
      </w:r>
      <w:r w:rsidR="00F76032" w:rsidRPr="008E58C0">
        <w:rPr>
          <w:rFonts w:cstheme="minorHAnsi"/>
          <w:sz w:val="24"/>
          <w:szCs w:val="24"/>
        </w:rPr>
        <w:t xml:space="preserve"> FY, the county received an equitable share of county revenue of </w:t>
      </w:r>
      <w:proofErr w:type="spellStart"/>
      <w:r w:rsidR="00F76032" w:rsidRPr="008E58C0">
        <w:rPr>
          <w:rFonts w:cstheme="minorHAnsi"/>
          <w:sz w:val="24"/>
          <w:szCs w:val="24"/>
        </w:rPr>
        <w:t>Kshs</w:t>
      </w:r>
      <w:proofErr w:type="spellEnd"/>
      <w:r w:rsidR="00F76032" w:rsidRPr="008E58C0">
        <w:rPr>
          <w:rFonts w:cstheme="minorHAnsi"/>
          <w:sz w:val="24"/>
          <w:szCs w:val="24"/>
        </w:rPr>
        <w:t xml:space="preserve">. </w:t>
      </w:r>
      <w:r>
        <w:rPr>
          <w:rFonts w:cstheme="minorHAnsi"/>
          <w:sz w:val="24"/>
          <w:szCs w:val="24"/>
        </w:rPr>
        <w:t xml:space="preserve">6,694,843,713 against an expected allocation of </w:t>
      </w:r>
      <w:proofErr w:type="spellStart"/>
      <w:r>
        <w:rPr>
          <w:rFonts w:cstheme="minorHAnsi"/>
          <w:sz w:val="24"/>
          <w:szCs w:val="24"/>
        </w:rPr>
        <w:t>Kshs</w:t>
      </w:r>
      <w:proofErr w:type="spellEnd"/>
      <w:r>
        <w:rPr>
          <w:rFonts w:cstheme="minorHAnsi"/>
          <w:sz w:val="24"/>
          <w:szCs w:val="24"/>
        </w:rPr>
        <w:t xml:space="preserve"> 7,277,004,03</w:t>
      </w:r>
      <w:r w:rsidR="00FB7B09">
        <w:rPr>
          <w:rFonts w:cstheme="minorHAnsi"/>
          <w:sz w:val="24"/>
          <w:szCs w:val="24"/>
        </w:rPr>
        <w:t>2 which represented a negative 8.70</w:t>
      </w:r>
      <w:r>
        <w:rPr>
          <w:rFonts w:cstheme="minorHAnsi"/>
          <w:sz w:val="24"/>
          <w:szCs w:val="24"/>
        </w:rPr>
        <w:t xml:space="preserve">% deviation from the expected allocation. The County also received grants of </w:t>
      </w:r>
      <w:proofErr w:type="spellStart"/>
      <w:r>
        <w:rPr>
          <w:rFonts w:cstheme="minorHAnsi"/>
          <w:sz w:val="24"/>
          <w:szCs w:val="24"/>
        </w:rPr>
        <w:t>Kshs</w:t>
      </w:r>
      <w:proofErr w:type="spellEnd"/>
      <w:r>
        <w:rPr>
          <w:rFonts w:cstheme="minorHAnsi"/>
          <w:sz w:val="24"/>
          <w:szCs w:val="24"/>
        </w:rPr>
        <w:t xml:space="preserve"> 143,396,198 against an expected allocation of </w:t>
      </w:r>
      <w:proofErr w:type="spellStart"/>
      <w:r>
        <w:rPr>
          <w:rFonts w:cstheme="minorHAnsi"/>
          <w:sz w:val="24"/>
          <w:szCs w:val="24"/>
        </w:rPr>
        <w:t>Kshs</w:t>
      </w:r>
      <w:proofErr w:type="spellEnd"/>
      <w:r>
        <w:rPr>
          <w:rFonts w:cstheme="minorHAnsi"/>
          <w:sz w:val="24"/>
          <w:szCs w:val="24"/>
        </w:rPr>
        <w:t xml:space="preserve"> 1,308,160,502 which represented a negative deviation of 812% and a reduction of 535% from what was received in FY 2020/21. Local revenue was </w:t>
      </w:r>
      <w:proofErr w:type="spellStart"/>
      <w:r>
        <w:rPr>
          <w:rFonts w:cstheme="minorHAnsi"/>
          <w:sz w:val="24"/>
          <w:szCs w:val="24"/>
        </w:rPr>
        <w:t>Kshs</w:t>
      </w:r>
      <w:proofErr w:type="spellEnd"/>
      <w:r>
        <w:rPr>
          <w:rFonts w:cstheme="minorHAnsi"/>
          <w:sz w:val="24"/>
          <w:szCs w:val="24"/>
        </w:rPr>
        <w:t xml:space="preserve"> 143,396,198 against a target of </w:t>
      </w:r>
      <w:proofErr w:type="spellStart"/>
      <w:r>
        <w:rPr>
          <w:rFonts w:cstheme="minorHAnsi"/>
          <w:sz w:val="24"/>
          <w:szCs w:val="24"/>
        </w:rPr>
        <w:t>Kshs</w:t>
      </w:r>
      <w:proofErr w:type="spellEnd"/>
      <w:r>
        <w:rPr>
          <w:rFonts w:cstheme="minorHAnsi"/>
          <w:sz w:val="24"/>
          <w:szCs w:val="24"/>
        </w:rPr>
        <w:t xml:space="preserve"> 170,000,000 representing a negative deviation of 71% and a contraction by 11% of the revenue collected in FY 2020/21. The details are shown in table 2.1 and attributed to the harsh economic environment at both the national and county levels. At the County level the high incidences of violence and the negative effects of the drought experienced in FY 2021/22 had a significant impact on the revenue targets and resulted in an overall negative deviation of 12% and a slight increase of 7% between FY 2020/21 and FY 2021/22. </w:t>
      </w:r>
    </w:p>
    <w:p w:rsidR="00C900E4" w:rsidRPr="008E58C0" w:rsidRDefault="00FD15FF" w:rsidP="00C900E4">
      <w:pPr>
        <w:rPr>
          <w:rFonts w:cstheme="minorHAnsi"/>
          <w:sz w:val="24"/>
          <w:szCs w:val="24"/>
        </w:rPr>
      </w:pPr>
      <w:r>
        <w:rPr>
          <w:rFonts w:cstheme="minorHAnsi"/>
          <w:sz w:val="24"/>
          <w:szCs w:val="24"/>
        </w:rPr>
        <w:t>Figure 1</w:t>
      </w:r>
      <w:r w:rsidR="00F76032" w:rsidRPr="008E58C0">
        <w:rPr>
          <w:rFonts w:cstheme="minorHAnsi"/>
          <w:sz w:val="24"/>
          <w:szCs w:val="24"/>
        </w:rPr>
        <w:t xml:space="preserve"> shows the quarterly trend in revenue collection</w:t>
      </w:r>
      <w:r w:rsidR="00C900E4" w:rsidRPr="008E58C0">
        <w:rPr>
          <w:rFonts w:cstheme="minorHAnsi"/>
          <w:sz w:val="24"/>
          <w:szCs w:val="24"/>
        </w:rPr>
        <w:t xml:space="preserve"> per quarter for</w:t>
      </w:r>
      <w:r>
        <w:rPr>
          <w:rFonts w:cstheme="minorHAnsi"/>
          <w:sz w:val="24"/>
          <w:szCs w:val="24"/>
        </w:rPr>
        <w:t xml:space="preserve"> local revenue performance from FY 2013/14 to FY 2021/22</w:t>
      </w:r>
      <w:r w:rsidR="00C900E4" w:rsidRPr="008E58C0">
        <w:rPr>
          <w:rFonts w:cstheme="minorHAnsi"/>
          <w:sz w:val="24"/>
          <w:szCs w:val="24"/>
        </w:rPr>
        <w:t xml:space="preserve">. </w:t>
      </w:r>
      <w:r w:rsidR="00F76032" w:rsidRPr="008E58C0">
        <w:rPr>
          <w:rFonts w:cstheme="minorHAnsi"/>
          <w:sz w:val="24"/>
          <w:szCs w:val="24"/>
        </w:rPr>
        <w:t xml:space="preserve"> </w:t>
      </w:r>
    </w:p>
    <w:p w:rsidR="00A92148" w:rsidRDefault="00FD15FF" w:rsidP="00C900E4">
      <w:pPr>
        <w:spacing w:before="240" w:after="240" w:line="240" w:lineRule="auto"/>
        <w:ind w:left="72"/>
        <w:rPr>
          <w:rFonts w:cstheme="minorHAnsi"/>
          <w:b/>
          <w:bCs/>
        </w:rPr>
      </w:pPr>
      <w:r>
        <w:rPr>
          <w:rFonts w:cstheme="minorHAnsi"/>
          <w:b/>
          <w:bCs/>
        </w:rPr>
        <w:t>Figure 1:  Revenue Performance trends</w:t>
      </w:r>
    </w:p>
    <w:p w:rsidR="00FD15FF" w:rsidRDefault="004D03C1" w:rsidP="00C900E4">
      <w:pPr>
        <w:spacing w:before="240" w:after="240" w:line="240" w:lineRule="auto"/>
        <w:ind w:left="72"/>
        <w:rPr>
          <w:rFonts w:cstheme="minorHAnsi"/>
          <w:b/>
          <w:bCs/>
        </w:rPr>
      </w:pPr>
      <w:r w:rsidRPr="004D03C1">
        <w:rPr>
          <w:noProof/>
        </w:rPr>
        <w:drawing>
          <wp:inline distT="0" distB="0" distL="0" distR="0">
            <wp:extent cx="5732145" cy="3413939"/>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2145" cy="3413939"/>
                    </a:xfrm>
                    <a:prstGeom prst="rect">
                      <a:avLst/>
                    </a:prstGeom>
                    <a:noFill/>
                    <a:ln>
                      <a:noFill/>
                    </a:ln>
                  </pic:spPr>
                </pic:pic>
              </a:graphicData>
            </a:graphic>
          </wp:inline>
        </w:drawing>
      </w:r>
    </w:p>
    <w:p w:rsidR="00A51B95" w:rsidRPr="008E58C0" w:rsidRDefault="001F1D4C" w:rsidP="00F00534">
      <w:pPr>
        <w:spacing w:before="240" w:after="240" w:line="240" w:lineRule="auto"/>
        <w:rPr>
          <w:rFonts w:cstheme="minorHAnsi"/>
          <w:sz w:val="24"/>
          <w:szCs w:val="24"/>
        </w:rPr>
      </w:pPr>
      <w:r w:rsidRPr="008E58C0">
        <w:rPr>
          <w:rFonts w:cstheme="minorHAnsi"/>
          <w:sz w:val="24"/>
          <w:szCs w:val="24"/>
        </w:rPr>
        <w:t>The County local revenue</w:t>
      </w:r>
      <w:r w:rsidR="00E50087">
        <w:rPr>
          <w:rFonts w:cstheme="minorHAnsi"/>
          <w:sz w:val="24"/>
          <w:szCs w:val="24"/>
        </w:rPr>
        <w:t xml:space="preserve"> has had mixed results over the years with low revenues being noted in FY 2013/14 and FY 2017/18. It is noteworthy that revenue was highest in FY 2016/17 and had been rising between FY 2017/18 and FY 2019/20. However</w:t>
      </w:r>
      <w:r w:rsidR="00C052E0">
        <w:rPr>
          <w:rFonts w:cstheme="minorHAnsi"/>
          <w:sz w:val="24"/>
          <w:szCs w:val="24"/>
        </w:rPr>
        <w:t>,</w:t>
      </w:r>
      <w:r w:rsidR="00E50087">
        <w:rPr>
          <w:rFonts w:cstheme="minorHAnsi"/>
          <w:sz w:val="24"/>
          <w:szCs w:val="24"/>
        </w:rPr>
        <w:t xml:space="preserve"> in the last three years, there has been a negative trend and the County plans to fully implement the automated own source revenue system called Sense Networks Revenue Automation System which is expected to enhance the local revenues by sealing leakages and encouraging simple, easy and efficient processes for revenue collection. </w:t>
      </w:r>
      <w:r w:rsidRPr="008E58C0">
        <w:rPr>
          <w:rFonts w:cstheme="minorHAnsi"/>
          <w:sz w:val="24"/>
          <w:szCs w:val="24"/>
        </w:rPr>
        <w:t xml:space="preserve"> </w:t>
      </w:r>
    </w:p>
    <w:p w:rsidR="00DD326B" w:rsidRPr="0034609F" w:rsidRDefault="00DD326B" w:rsidP="0034609F">
      <w:pPr>
        <w:pStyle w:val="Heading1"/>
        <w:numPr>
          <w:ilvl w:val="2"/>
          <w:numId w:val="44"/>
        </w:numPr>
        <w:spacing w:before="240" w:after="240" w:line="240" w:lineRule="auto"/>
        <w:ind w:hanging="1224"/>
        <w:rPr>
          <w:color w:val="auto"/>
          <w:sz w:val="24"/>
          <w:szCs w:val="24"/>
        </w:rPr>
      </w:pPr>
      <w:bookmarkStart w:id="25" w:name="_Toc525549617"/>
      <w:r w:rsidRPr="0034609F">
        <w:rPr>
          <w:color w:val="auto"/>
          <w:sz w:val="24"/>
          <w:szCs w:val="24"/>
        </w:rPr>
        <w:t>Expenditure Performance</w:t>
      </w:r>
      <w:bookmarkEnd w:id="25"/>
    </w:p>
    <w:p w:rsidR="0019777B" w:rsidRPr="008E58C0" w:rsidRDefault="0019777B" w:rsidP="0019777B">
      <w:pPr>
        <w:spacing w:before="240" w:after="240" w:line="240" w:lineRule="auto"/>
        <w:rPr>
          <w:rFonts w:cstheme="minorHAnsi"/>
          <w:sz w:val="24"/>
          <w:szCs w:val="24"/>
        </w:rPr>
      </w:pPr>
      <w:r w:rsidRPr="008E58C0">
        <w:rPr>
          <w:rFonts w:cstheme="minorHAnsi"/>
          <w:sz w:val="24"/>
          <w:szCs w:val="24"/>
        </w:rPr>
        <w:t>Total</w:t>
      </w:r>
      <w:r w:rsidR="004D43A3" w:rsidRPr="008E58C0">
        <w:rPr>
          <w:rFonts w:cstheme="minorHAnsi"/>
          <w:sz w:val="24"/>
          <w:szCs w:val="24"/>
        </w:rPr>
        <w:t xml:space="preserve"> expenditure in the FY </w:t>
      </w:r>
      <w:r w:rsidR="00C052E0">
        <w:rPr>
          <w:rFonts w:cstheme="minorHAnsi"/>
          <w:sz w:val="24"/>
          <w:szCs w:val="24"/>
        </w:rPr>
        <w:t>2021/22</w:t>
      </w:r>
      <w:r w:rsidR="004D43A3" w:rsidRPr="008E58C0">
        <w:rPr>
          <w:rFonts w:cstheme="minorHAnsi"/>
          <w:sz w:val="24"/>
          <w:szCs w:val="24"/>
        </w:rPr>
        <w:t xml:space="preserve">, amounted to </w:t>
      </w:r>
      <w:proofErr w:type="spellStart"/>
      <w:r w:rsidR="004D43A3" w:rsidRPr="008E58C0">
        <w:rPr>
          <w:rFonts w:cstheme="minorHAnsi"/>
          <w:sz w:val="24"/>
          <w:szCs w:val="24"/>
        </w:rPr>
        <w:t>Kshs</w:t>
      </w:r>
      <w:proofErr w:type="spellEnd"/>
      <w:r w:rsidR="004D43A3" w:rsidRPr="008E58C0">
        <w:rPr>
          <w:rFonts w:cstheme="minorHAnsi"/>
          <w:sz w:val="24"/>
          <w:szCs w:val="24"/>
        </w:rPr>
        <w:t xml:space="preserve"> </w:t>
      </w:r>
      <w:r w:rsidR="00C052E0">
        <w:rPr>
          <w:rFonts w:cstheme="minorHAnsi"/>
          <w:sz w:val="24"/>
          <w:szCs w:val="24"/>
        </w:rPr>
        <w:t xml:space="preserve">7.760 billion against a budget of </w:t>
      </w:r>
      <w:proofErr w:type="spellStart"/>
      <w:r w:rsidR="00C052E0">
        <w:rPr>
          <w:rFonts w:cstheme="minorHAnsi"/>
          <w:sz w:val="24"/>
          <w:szCs w:val="24"/>
        </w:rPr>
        <w:t>Kshs</w:t>
      </w:r>
      <w:proofErr w:type="spellEnd"/>
      <w:r w:rsidR="00C052E0">
        <w:rPr>
          <w:rFonts w:cstheme="minorHAnsi"/>
          <w:sz w:val="24"/>
          <w:szCs w:val="24"/>
        </w:rPr>
        <w:t xml:space="preserve"> </w:t>
      </w:r>
      <w:r w:rsidR="00FB7B09">
        <w:rPr>
          <w:rFonts w:cstheme="minorHAnsi"/>
          <w:sz w:val="24"/>
          <w:szCs w:val="24"/>
        </w:rPr>
        <w:t>9.331</w:t>
      </w:r>
      <w:r w:rsidR="00C052E0">
        <w:rPr>
          <w:rFonts w:cstheme="minorHAnsi"/>
          <w:sz w:val="24"/>
          <w:szCs w:val="24"/>
        </w:rPr>
        <w:t xml:space="preserve"> billion representing an under expenditure of </w:t>
      </w:r>
      <w:proofErr w:type="spellStart"/>
      <w:r w:rsidR="00C052E0">
        <w:rPr>
          <w:rFonts w:cstheme="minorHAnsi"/>
          <w:sz w:val="24"/>
          <w:szCs w:val="24"/>
        </w:rPr>
        <w:t>Kshs</w:t>
      </w:r>
      <w:proofErr w:type="spellEnd"/>
      <w:r w:rsidR="00C052E0">
        <w:rPr>
          <w:rFonts w:cstheme="minorHAnsi"/>
          <w:sz w:val="24"/>
          <w:szCs w:val="24"/>
        </w:rPr>
        <w:t xml:space="preserve"> </w:t>
      </w:r>
      <w:r w:rsidR="00FB7B09">
        <w:rPr>
          <w:rFonts w:cstheme="minorHAnsi"/>
          <w:sz w:val="24"/>
          <w:szCs w:val="24"/>
        </w:rPr>
        <w:t>1.571 billion</w:t>
      </w:r>
      <w:r w:rsidR="00C052E0">
        <w:rPr>
          <w:rFonts w:cstheme="minorHAnsi"/>
          <w:sz w:val="24"/>
          <w:szCs w:val="24"/>
        </w:rPr>
        <w:t xml:space="preserve"> or </w:t>
      </w:r>
      <w:r w:rsidR="00FB7B09">
        <w:rPr>
          <w:rFonts w:cstheme="minorHAnsi"/>
          <w:sz w:val="24"/>
          <w:szCs w:val="24"/>
        </w:rPr>
        <w:t>20.25</w:t>
      </w:r>
      <w:r w:rsidR="00C052E0">
        <w:rPr>
          <w:rFonts w:cstheme="minorHAnsi"/>
          <w:sz w:val="24"/>
          <w:szCs w:val="24"/>
        </w:rPr>
        <w:t xml:space="preserve">% less than the budget. The actual expenditure in FY 2020/21 was </w:t>
      </w:r>
      <w:proofErr w:type="spellStart"/>
      <w:r w:rsidR="00C052E0">
        <w:rPr>
          <w:rFonts w:cstheme="minorHAnsi"/>
          <w:sz w:val="24"/>
          <w:szCs w:val="24"/>
        </w:rPr>
        <w:t>Kshs</w:t>
      </w:r>
      <w:proofErr w:type="spellEnd"/>
      <w:r w:rsidR="00C052E0">
        <w:rPr>
          <w:rFonts w:cstheme="minorHAnsi"/>
          <w:sz w:val="24"/>
          <w:szCs w:val="24"/>
        </w:rPr>
        <w:t xml:space="preserve"> 7.203 billion and this FY 2021/22 expenditure did note an increase by 7.17%.</w:t>
      </w:r>
      <w:r w:rsidR="00D25B34" w:rsidRPr="008E58C0">
        <w:rPr>
          <w:rFonts w:cstheme="minorHAnsi"/>
          <w:sz w:val="24"/>
          <w:szCs w:val="24"/>
        </w:rPr>
        <w:t xml:space="preserve"> </w:t>
      </w:r>
      <w:r w:rsidR="00436B8C">
        <w:rPr>
          <w:rFonts w:cstheme="minorHAnsi"/>
          <w:sz w:val="24"/>
          <w:szCs w:val="24"/>
        </w:rPr>
        <w:t>In FY 2021/22</w:t>
      </w:r>
      <w:r w:rsidR="00A8479C" w:rsidRPr="008E58C0">
        <w:rPr>
          <w:rFonts w:cstheme="minorHAnsi"/>
          <w:sz w:val="24"/>
          <w:szCs w:val="24"/>
        </w:rPr>
        <w:t>, the recurrent expenditur</w:t>
      </w:r>
      <w:r w:rsidR="00436B8C">
        <w:rPr>
          <w:rFonts w:cstheme="minorHAnsi"/>
          <w:sz w:val="24"/>
          <w:szCs w:val="24"/>
        </w:rPr>
        <w:t xml:space="preserve">e amounted to </w:t>
      </w:r>
      <w:proofErr w:type="spellStart"/>
      <w:r w:rsidR="00436B8C">
        <w:rPr>
          <w:rFonts w:cstheme="minorHAnsi"/>
          <w:sz w:val="24"/>
          <w:szCs w:val="24"/>
        </w:rPr>
        <w:t>Kshs</w:t>
      </w:r>
      <w:proofErr w:type="spellEnd"/>
      <w:r w:rsidR="00436B8C">
        <w:rPr>
          <w:rFonts w:cstheme="minorHAnsi"/>
          <w:sz w:val="24"/>
          <w:szCs w:val="24"/>
        </w:rPr>
        <w:t xml:space="preserve"> 4.515 billion representing 58.18</w:t>
      </w:r>
      <w:r w:rsidR="00A8479C" w:rsidRPr="008E58C0">
        <w:rPr>
          <w:rFonts w:cstheme="minorHAnsi"/>
          <w:sz w:val="24"/>
          <w:szCs w:val="24"/>
        </w:rPr>
        <w:t xml:space="preserve">% of the total expenditure, while </w:t>
      </w:r>
      <w:proofErr w:type="spellStart"/>
      <w:r w:rsidR="00A8479C" w:rsidRPr="008E58C0">
        <w:rPr>
          <w:rFonts w:cstheme="minorHAnsi"/>
          <w:sz w:val="24"/>
          <w:szCs w:val="24"/>
        </w:rPr>
        <w:t>Kshs</w:t>
      </w:r>
      <w:proofErr w:type="spellEnd"/>
      <w:r w:rsidR="00A8479C" w:rsidRPr="008E58C0">
        <w:rPr>
          <w:rFonts w:cstheme="minorHAnsi"/>
          <w:sz w:val="24"/>
          <w:szCs w:val="24"/>
        </w:rPr>
        <w:t xml:space="preserve"> </w:t>
      </w:r>
      <w:r w:rsidR="00436B8C">
        <w:rPr>
          <w:rFonts w:cstheme="minorHAnsi"/>
          <w:sz w:val="24"/>
          <w:szCs w:val="24"/>
        </w:rPr>
        <w:t>3,245 billion</w:t>
      </w:r>
      <w:r w:rsidR="0002645A" w:rsidRPr="008E58C0">
        <w:rPr>
          <w:rFonts w:cstheme="minorHAnsi"/>
          <w:sz w:val="24"/>
          <w:szCs w:val="24"/>
        </w:rPr>
        <w:t xml:space="preserve"> was spent </w:t>
      </w:r>
      <w:r w:rsidR="00436B8C">
        <w:rPr>
          <w:rFonts w:cstheme="minorHAnsi"/>
          <w:sz w:val="24"/>
          <w:szCs w:val="24"/>
        </w:rPr>
        <w:t>on development accounting for 41.82</w:t>
      </w:r>
      <w:r w:rsidR="0002645A" w:rsidRPr="008E58C0">
        <w:rPr>
          <w:rFonts w:cstheme="minorHAnsi"/>
          <w:sz w:val="24"/>
          <w:szCs w:val="24"/>
        </w:rPr>
        <w:t xml:space="preserve">% of the total expenditure. </w:t>
      </w:r>
      <w:r w:rsidRPr="008E58C0">
        <w:rPr>
          <w:rFonts w:cstheme="minorHAnsi"/>
          <w:sz w:val="24"/>
          <w:szCs w:val="24"/>
        </w:rPr>
        <w:t xml:space="preserve">The expenditure excludes </w:t>
      </w:r>
      <w:r w:rsidR="00436B8C">
        <w:rPr>
          <w:rFonts w:cstheme="minorHAnsi"/>
          <w:sz w:val="24"/>
          <w:szCs w:val="24"/>
        </w:rPr>
        <w:t>pending bills which stand at 755</w:t>
      </w:r>
      <w:r w:rsidR="00FB7B09">
        <w:rPr>
          <w:rFonts w:cstheme="minorHAnsi"/>
          <w:sz w:val="24"/>
          <w:szCs w:val="24"/>
        </w:rPr>
        <w:t>.76</w:t>
      </w:r>
      <w:r w:rsidR="00436B8C">
        <w:rPr>
          <w:rFonts w:cstheme="minorHAnsi"/>
          <w:sz w:val="24"/>
          <w:szCs w:val="24"/>
        </w:rPr>
        <w:t xml:space="preserve"> million. This is against a budget for recurrent of </w:t>
      </w:r>
      <w:proofErr w:type="spellStart"/>
      <w:r w:rsidR="00436B8C">
        <w:rPr>
          <w:rFonts w:cstheme="minorHAnsi"/>
          <w:sz w:val="24"/>
          <w:szCs w:val="24"/>
        </w:rPr>
        <w:t>Kshs</w:t>
      </w:r>
      <w:proofErr w:type="spellEnd"/>
      <w:r w:rsidR="00436B8C">
        <w:rPr>
          <w:rFonts w:cstheme="minorHAnsi"/>
          <w:sz w:val="24"/>
          <w:szCs w:val="24"/>
        </w:rPr>
        <w:t xml:space="preserve"> 4.</w:t>
      </w:r>
      <w:r w:rsidR="00FB7B09">
        <w:rPr>
          <w:rFonts w:cstheme="minorHAnsi"/>
          <w:sz w:val="24"/>
          <w:szCs w:val="24"/>
        </w:rPr>
        <w:t>746</w:t>
      </w:r>
      <w:r w:rsidR="00436B8C">
        <w:rPr>
          <w:rFonts w:cstheme="minorHAnsi"/>
          <w:sz w:val="24"/>
          <w:szCs w:val="24"/>
        </w:rPr>
        <w:t xml:space="preserve"> billion (47.65%) and a development budget of </w:t>
      </w:r>
      <w:proofErr w:type="spellStart"/>
      <w:r w:rsidR="00436B8C">
        <w:rPr>
          <w:rFonts w:cstheme="minorHAnsi"/>
          <w:sz w:val="24"/>
          <w:szCs w:val="24"/>
        </w:rPr>
        <w:t>Kshs</w:t>
      </w:r>
      <w:proofErr w:type="spellEnd"/>
      <w:r w:rsidR="00436B8C">
        <w:rPr>
          <w:rFonts w:cstheme="minorHAnsi"/>
          <w:sz w:val="24"/>
          <w:szCs w:val="24"/>
        </w:rPr>
        <w:t xml:space="preserve"> 4.</w:t>
      </w:r>
      <w:r w:rsidR="00FB7B09">
        <w:rPr>
          <w:rFonts w:cstheme="minorHAnsi"/>
          <w:sz w:val="24"/>
          <w:szCs w:val="24"/>
        </w:rPr>
        <w:t>586</w:t>
      </w:r>
      <w:r w:rsidR="00436B8C">
        <w:rPr>
          <w:rFonts w:cstheme="minorHAnsi"/>
          <w:sz w:val="24"/>
          <w:szCs w:val="24"/>
        </w:rPr>
        <w:t xml:space="preserve"> billion (52.81%). However, the proportionate allocation to recurrent and development moved negatively as in FY 2020/21 the County achieved 52.27% and 47.73% of expenditure allocation to recurrent and development, respectively. </w:t>
      </w:r>
      <w:r w:rsidR="007B67AD" w:rsidRPr="008E58C0">
        <w:rPr>
          <w:rFonts w:cstheme="minorHAnsi"/>
          <w:sz w:val="24"/>
          <w:szCs w:val="24"/>
        </w:rPr>
        <w:t>The County achieved the thresholds on the proportions to be allocated to recurrent and development contained in the minimum requirements as prescribed in section 107 of the PFM Act 2012.</w:t>
      </w:r>
    </w:p>
    <w:p w:rsidR="0019777B" w:rsidRPr="008E58C0" w:rsidRDefault="0019777B" w:rsidP="0019777B">
      <w:pPr>
        <w:spacing w:before="240" w:after="240" w:line="240" w:lineRule="auto"/>
        <w:rPr>
          <w:rFonts w:cstheme="minorHAnsi"/>
          <w:sz w:val="24"/>
          <w:szCs w:val="24"/>
        </w:rPr>
      </w:pPr>
      <w:r w:rsidRPr="008E58C0">
        <w:rPr>
          <w:rFonts w:cstheme="minorHAnsi"/>
          <w:sz w:val="24"/>
          <w:szCs w:val="24"/>
        </w:rPr>
        <w:t>Budget expenditure r</w:t>
      </w:r>
      <w:r w:rsidR="00DD411B" w:rsidRPr="008E58C0">
        <w:rPr>
          <w:rFonts w:cstheme="minorHAnsi"/>
          <w:sz w:val="24"/>
          <w:szCs w:val="24"/>
        </w:rPr>
        <w:t>e</w:t>
      </w:r>
      <w:r w:rsidR="00FB7B09">
        <w:rPr>
          <w:rFonts w:cstheme="minorHAnsi"/>
          <w:sz w:val="24"/>
          <w:szCs w:val="24"/>
        </w:rPr>
        <w:t>corded an absorption rate of 83.16% i</w:t>
      </w:r>
      <w:r w:rsidR="00436B8C">
        <w:rPr>
          <w:rFonts w:cstheme="minorHAnsi"/>
          <w:sz w:val="24"/>
          <w:szCs w:val="24"/>
        </w:rPr>
        <w:t>n FY 2021/22</w:t>
      </w:r>
      <w:r w:rsidR="00DD411B" w:rsidRPr="008E58C0">
        <w:rPr>
          <w:rFonts w:cstheme="minorHAnsi"/>
          <w:sz w:val="24"/>
          <w:szCs w:val="24"/>
        </w:rPr>
        <w:t>, a</w:t>
      </w:r>
      <w:r w:rsidR="00FB7B09">
        <w:rPr>
          <w:rFonts w:cstheme="minorHAnsi"/>
          <w:sz w:val="24"/>
          <w:szCs w:val="24"/>
        </w:rPr>
        <w:t>n increase from the 82.65% achieved in a similar period of FY 2020/21</w:t>
      </w:r>
      <w:r w:rsidRPr="008E58C0">
        <w:rPr>
          <w:rFonts w:cstheme="minorHAnsi"/>
          <w:sz w:val="24"/>
          <w:szCs w:val="24"/>
        </w:rPr>
        <w:t>. The</w:t>
      </w:r>
      <w:r w:rsidR="00FB7B09">
        <w:rPr>
          <w:rFonts w:cstheme="minorHAnsi"/>
          <w:sz w:val="24"/>
          <w:szCs w:val="24"/>
        </w:rPr>
        <w:t xml:space="preserve">se represent significantly lower absorptions than were recorded previously and this is attributed to the delays in disbursement of the equitable share to the County governments from the national government. This is considerably so in FY 2021/22 where an amount of </w:t>
      </w:r>
      <w:proofErr w:type="spellStart"/>
      <w:r w:rsidR="00FB7B09">
        <w:rPr>
          <w:rFonts w:cstheme="minorHAnsi"/>
          <w:sz w:val="24"/>
          <w:szCs w:val="24"/>
        </w:rPr>
        <w:t>Kshs</w:t>
      </w:r>
      <w:proofErr w:type="spellEnd"/>
      <w:r w:rsidR="00FB7B09">
        <w:rPr>
          <w:rFonts w:cstheme="minorHAnsi"/>
          <w:sz w:val="24"/>
          <w:szCs w:val="24"/>
        </w:rPr>
        <w:t xml:space="preserve"> 1.572 billion was not received in the year. </w:t>
      </w:r>
      <w:r w:rsidRPr="008E58C0">
        <w:rPr>
          <w:rFonts w:cstheme="minorHAnsi"/>
          <w:sz w:val="24"/>
          <w:szCs w:val="24"/>
        </w:rPr>
        <w:t xml:space="preserve"> </w:t>
      </w:r>
    </w:p>
    <w:p w:rsidR="00EE518B" w:rsidRPr="0034609F" w:rsidRDefault="00EE518B" w:rsidP="0034609F">
      <w:pPr>
        <w:pStyle w:val="Heading1"/>
        <w:numPr>
          <w:ilvl w:val="3"/>
          <w:numId w:val="44"/>
        </w:numPr>
        <w:spacing w:before="240" w:after="240" w:line="240" w:lineRule="auto"/>
        <w:ind w:left="1080" w:hanging="1080"/>
        <w:rPr>
          <w:color w:val="auto"/>
          <w:sz w:val="24"/>
          <w:szCs w:val="24"/>
        </w:rPr>
      </w:pPr>
      <w:bookmarkStart w:id="26" w:name="_Toc525549618"/>
      <w:r w:rsidRPr="0034609F">
        <w:rPr>
          <w:color w:val="auto"/>
          <w:sz w:val="24"/>
          <w:szCs w:val="24"/>
        </w:rPr>
        <w:t xml:space="preserve">Budget absorption </w:t>
      </w:r>
      <w:r w:rsidR="00962989">
        <w:rPr>
          <w:color w:val="auto"/>
          <w:sz w:val="24"/>
          <w:szCs w:val="24"/>
        </w:rPr>
        <w:t>and comparison between CFSP 2021 Ceilings and FY 2021/22</w:t>
      </w:r>
      <w:r w:rsidRPr="0034609F">
        <w:rPr>
          <w:color w:val="auto"/>
          <w:sz w:val="24"/>
          <w:szCs w:val="24"/>
        </w:rPr>
        <w:t xml:space="preserve"> budget</w:t>
      </w:r>
      <w:bookmarkEnd w:id="26"/>
    </w:p>
    <w:p w:rsidR="00EE518B" w:rsidRPr="008E58C0" w:rsidRDefault="00C85B5D" w:rsidP="00EE518B">
      <w:pPr>
        <w:rPr>
          <w:rFonts w:cstheme="minorHAnsi"/>
          <w:sz w:val="24"/>
          <w:szCs w:val="24"/>
        </w:rPr>
      </w:pPr>
      <w:r w:rsidRPr="008E58C0">
        <w:rPr>
          <w:rFonts w:cstheme="minorHAnsi"/>
          <w:sz w:val="24"/>
          <w:szCs w:val="24"/>
        </w:rPr>
        <w:t xml:space="preserve">Table 2.3 below indicates the respective </w:t>
      </w:r>
      <w:r w:rsidR="00D91EA4" w:rsidRPr="008E58C0">
        <w:rPr>
          <w:rFonts w:cstheme="minorHAnsi"/>
          <w:sz w:val="24"/>
          <w:szCs w:val="24"/>
        </w:rPr>
        <w:t>department’s</w:t>
      </w:r>
      <w:r w:rsidRPr="008E58C0">
        <w:rPr>
          <w:rFonts w:cstheme="minorHAnsi"/>
          <w:sz w:val="24"/>
          <w:szCs w:val="24"/>
        </w:rPr>
        <w:t xml:space="preserve"> absorption rates and indicate as follows:</w:t>
      </w:r>
    </w:p>
    <w:p w:rsidR="00C85B5D" w:rsidRPr="008E58C0" w:rsidRDefault="00005E88" w:rsidP="00C85B5D">
      <w:pPr>
        <w:pStyle w:val="ListParagraph"/>
        <w:numPr>
          <w:ilvl w:val="0"/>
          <w:numId w:val="39"/>
        </w:numPr>
        <w:ind w:hanging="720"/>
        <w:rPr>
          <w:rFonts w:cstheme="minorHAnsi"/>
          <w:sz w:val="24"/>
          <w:szCs w:val="24"/>
        </w:rPr>
      </w:pPr>
      <w:r>
        <w:rPr>
          <w:rFonts w:cstheme="minorHAnsi"/>
          <w:sz w:val="24"/>
          <w:szCs w:val="24"/>
        </w:rPr>
        <w:t>High absorption was noted in the County executive (</w:t>
      </w:r>
      <w:r w:rsidR="004116B0" w:rsidRPr="008E58C0">
        <w:rPr>
          <w:rFonts w:cstheme="minorHAnsi"/>
          <w:sz w:val="24"/>
          <w:szCs w:val="24"/>
        </w:rPr>
        <w:t xml:space="preserve">Over-expenditure was noted in the roads department </w:t>
      </w:r>
      <w:r w:rsidR="007D7FAA" w:rsidRPr="008E58C0">
        <w:rPr>
          <w:rFonts w:cstheme="minorHAnsi"/>
          <w:sz w:val="24"/>
          <w:szCs w:val="24"/>
        </w:rPr>
        <w:t xml:space="preserve">by 4% as a result of the passing of the supplementary budget that reduced the available budget </w:t>
      </w:r>
      <w:proofErr w:type="spellStart"/>
      <w:r w:rsidR="00E235CD" w:rsidRPr="008E58C0">
        <w:rPr>
          <w:rFonts w:cstheme="minorHAnsi"/>
          <w:sz w:val="24"/>
          <w:szCs w:val="24"/>
        </w:rPr>
        <w:t>Kshs</w:t>
      </w:r>
      <w:proofErr w:type="spellEnd"/>
      <w:r w:rsidR="00E235CD" w:rsidRPr="008E58C0">
        <w:rPr>
          <w:rFonts w:cstheme="minorHAnsi"/>
          <w:sz w:val="24"/>
          <w:szCs w:val="24"/>
        </w:rPr>
        <w:t xml:space="preserve"> 95,703,603 while the activities had al</w:t>
      </w:r>
      <w:r w:rsidR="004251D7" w:rsidRPr="008E58C0">
        <w:rPr>
          <w:rFonts w:cstheme="minorHAnsi"/>
          <w:sz w:val="24"/>
          <w:szCs w:val="24"/>
        </w:rPr>
        <w:t>r</w:t>
      </w:r>
      <w:r w:rsidR="00E235CD" w:rsidRPr="008E58C0">
        <w:rPr>
          <w:rFonts w:cstheme="minorHAnsi"/>
          <w:sz w:val="24"/>
          <w:szCs w:val="24"/>
        </w:rPr>
        <w:t xml:space="preserve">eady committed for </w:t>
      </w:r>
      <w:proofErr w:type="spellStart"/>
      <w:r w:rsidR="00E235CD" w:rsidRPr="008E58C0">
        <w:rPr>
          <w:rFonts w:cstheme="minorHAnsi"/>
          <w:sz w:val="24"/>
          <w:szCs w:val="24"/>
        </w:rPr>
        <w:t>Kshs</w:t>
      </w:r>
      <w:proofErr w:type="spellEnd"/>
      <w:r w:rsidR="00E235CD" w:rsidRPr="008E58C0">
        <w:rPr>
          <w:rFonts w:cstheme="minorHAnsi"/>
          <w:sz w:val="24"/>
          <w:szCs w:val="24"/>
        </w:rPr>
        <w:t xml:space="preserve"> 428,</w:t>
      </w:r>
      <w:r w:rsidR="00111A33" w:rsidRPr="008E58C0">
        <w:rPr>
          <w:rFonts w:cstheme="minorHAnsi"/>
          <w:sz w:val="24"/>
          <w:szCs w:val="24"/>
        </w:rPr>
        <w:t xml:space="preserve">789,766. </w:t>
      </w:r>
    </w:p>
    <w:p w:rsidR="0034609F" w:rsidRDefault="00111A33" w:rsidP="0034609F">
      <w:pPr>
        <w:pStyle w:val="ListParagraph"/>
        <w:numPr>
          <w:ilvl w:val="0"/>
          <w:numId w:val="39"/>
        </w:numPr>
        <w:ind w:hanging="720"/>
        <w:rPr>
          <w:rFonts w:cstheme="minorHAnsi"/>
          <w:sz w:val="24"/>
          <w:szCs w:val="24"/>
        </w:rPr>
      </w:pPr>
      <w:r w:rsidRPr="008E58C0">
        <w:rPr>
          <w:rFonts w:cstheme="minorHAnsi"/>
          <w:sz w:val="24"/>
          <w:szCs w:val="24"/>
        </w:rPr>
        <w:t xml:space="preserve">High absorption by the County Public Service Board (96%), </w:t>
      </w:r>
      <w:r w:rsidR="00B675FC" w:rsidRPr="008E58C0">
        <w:rPr>
          <w:rFonts w:cstheme="minorHAnsi"/>
          <w:sz w:val="24"/>
          <w:szCs w:val="24"/>
        </w:rPr>
        <w:t>Administration and ICT (94%), Agriculture, fisheries and livestock</w:t>
      </w:r>
      <w:r w:rsidR="005761C7" w:rsidRPr="008E58C0">
        <w:rPr>
          <w:rFonts w:cstheme="minorHAnsi"/>
          <w:sz w:val="24"/>
          <w:szCs w:val="24"/>
        </w:rPr>
        <w:t xml:space="preserve"> and Finance and Economic Planning (93%) and 91% for the County Assembly.</w:t>
      </w:r>
    </w:p>
    <w:p w:rsidR="00C36829" w:rsidRPr="0034609F" w:rsidRDefault="004251D7" w:rsidP="0034609F">
      <w:pPr>
        <w:pStyle w:val="ListParagraph"/>
        <w:numPr>
          <w:ilvl w:val="0"/>
          <w:numId w:val="39"/>
        </w:numPr>
        <w:ind w:hanging="720"/>
        <w:rPr>
          <w:rFonts w:cstheme="minorHAnsi"/>
          <w:sz w:val="24"/>
          <w:szCs w:val="24"/>
        </w:rPr>
      </w:pPr>
      <w:r w:rsidRPr="0034609F">
        <w:rPr>
          <w:rFonts w:cstheme="minorHAnsi"/>
          <w:sz w:val="24"/>
          <w:szCs w:val="24"/>
        </w:rPr>
        <w:t>Low absorption was noted in Trade, Tourism, Industry and Enterprise development (62%),</w:t>
      </w:r>
      <w:r w:rsidR="00EB1211" w:rsidRPr="0034609F">
        <w:rPr>
          <w:rFonts w:cstheme="minorHAnsi"/>
          <w:sz w:val="24"/>
          <w:szCs w:val="24"/>
        </w:rPr>
        <w:t xml:space="preserve"> Water, Environment and Natural resources (76%) and</w:t>
      </w:r>
      <w:r w:rsidRPr="0034609F">
        <w:rPr>
          <w:rFonts w:cstheme="minorHAnsi"/>
          <w:sz w:val="24"/>
          <w:szCs w:val="24"/>
        </w:rPr>
        <w:t xml:space="preserve"> Culture and social service</w:t>
      </w:r>
      <w:r w:rsidR="00EB1211" w:rsidRPr="0034609F">
        <w:rPr>
          <w:rFonts w:cstheme="minorHAnsi"/>
          <w:sz w:val="24"/>
          <w:szCs w:val="24"/>
        </w:rPr>
        <w:t xml:space="preserve">s (78%). The low utilization was attributed to the long electioneering period that affected the performance of specific activities due to the tension that existed prior to, during and immediately after the elections. Some of the areas with planned activities were considered volatile and </w:t>
      </w:r>
      <w:r w:rsidR="003A320D" w:rsidRPr="0034609F">
        <w:rPr>
          <w:rFonts w:cstheme="minorHAnsi"/>
          <w:sz w:val="24"/>
          <w:szCs w:val="24"/>
        </w:rPr>
        <w:t xml:space="preserve">therefore specific activities were delayed to allow the situation to normalize which has since happened.  </w:t>
      </w:r>
    </w:p>
    <w:p w:rsidR="00EE518B" w:rsidRPr="00C4418D" w:rsidRDefault="00EE518B" w:rsidP="00EE518B">
      <w:pPr>
        <w:rPr>
          <w:rFonts w:cstheme="minorHAnsi"/>
          <w:sz w:val="24"/>
          <w:szCs w:val="24"/>
        </w:rPr>
      </w:pPr>
    </w:p>
    <w:p w:rsidR="00395FB8" w:rsidRPr="00C4418D" w:rsidRDefault="00395FB8" w:rsidP="00E402E9">
      <w:pPr>
        <w:rPr>
          <w:rFonts w:cstheme="minorHAnsi"/>
          <w:b/>
          <w:color w:val="C00000"/>
          <w:sz w:val="24"/>
          <w:szCs w:val="24"/>
        </w:rPr>
        <w:sectPr w:rsidR="00395FB8" w:rsidRPr="00C4418D" w:rsidSect="00CC7824">
          <w:pgSz w:w="11907" w:h="16839" w:code="9"/>
          <w:pgMar w:top="1440" w:right="1440" w:bottom="1440" w:left="1440" w:header="720" w:footer="720" w:gutter="0"/>
          <w:cols w:space="720"/>
          <w:docGrid w:linePitch="360"/>
        </w:sectPr>
      </w:pPr>
    </w:p>
    <w:p w:rsidR="00395FB8" w:rsidRDefault="00395FB8" w:rsidP="001A29CC">
      <w:pPr>
        <w:spacing w:before="100" w:beforeAutospacing="1" w:after="240" w:line="240" w:lineRule="auto"/>
        <w:rPr>
          <w:rFonts w:cstheme="minorHAnsi"/>
          <w:b/>
          <w:bCs/>
        </w:rPr>
      </w:pPr>
      <w:r w:rsidRPr="00C4418D">
        <w:rPr>
          <w:rFonts w:cstheme="minorHAnsi"/>
          <w:b/>
          <w:bCs/>
        </w:rPr>
        <w:t>Table 2.3 Showing Absorption rates by secto</w:t>
      </w:r>
      <w:r w:rsidR="00962989">
        <w:rPr>
          <w:rFonts w:cstheme="minorHAnsi"/>
          <w:b/>
          <w:bCs/>
        </w:rPr>
        <w:t>rs and Comparison with CFSP 2021</w:t>
      </w:r>
      <w:r w:rsidR="003E7486">
        <w:rPr>
          <w:rFonts w:cstheme="minorHAnsi"/>
          <w:b/>
          <w:bCs/>
        </w:rPr>
        <w:t xml:space="preserve"> </w:t>
      </w:r>
    </w:p>
    <w:tbl>
      <w:tblPr>
        <w:tblW w:w="14955" w:type="dxa"/>
        <w:tblInd w:w="-5" w:type="dxa"/>
        <w:tblLook w:val="04A0" w:firstRow="1" w:lastRow="0" w:firstColumn="1" w:lastColumn="0" w:noHBand="0" w:noVBand="1"/>
      </w:tblPr>
      <w:tblGrid>
        <w:gridCol w:w="3544"/>
        <w:gridCol w:w="1062"/>
        <w:gridCol w:w="993"/>
        <w:gridCol w:w="993"/>
        <w:gridCol w:w="1345"/>
        <w:gridCol w:w="992"/>
        <w:gridCol w:w="923"/>
        <w:gridCol w:w="908"/>
        <w:gridCol w:w="935"/>
        <w:gridCol w:w="1140"/>
        <w:gridCol w:w="7"/>
        <w:gridCol w:w="1133"/>
        <w:gridCol w:w="7"/>
        <w:gridCol w:w="973"/>
      </w:tblGrid>
      <w:tr w:rsidR="00006A3B" w:rsidRPr="00006A3B" w:rsidTr="00006A3B">
        <w:trPr>
          <w:trHeight w:val="45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A3B" w:rsidRPr="00006A3B" w:rsidRDefault="00006A3B" w:rsidP="00006A3B">
            <w:pPr>
              <w:spacing w:after="0" w:line="240" w:lineRule="auto"/>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DEPARTMENTS</w:t>
            </w:r>
          </w:p>
        </w:tc>
        <w:tc>
          <w:tcPr>
            <w:tcW w:w="3048" w:type="dxa"/>
            <w:gridSpan w:val="3"/>
            <w:tcBorders>
              <w:top w:val="single" w:sz="4" w:space="0" w:color="auto"/>
              <w:left w:val="nil"/>
              <w:bottom w:val="single" w:sz="4" w:space="0" w:color="auto"/>
              <w:right w:val="single" w:sz="4" w:space="0" w:color="auto"/>
            </w:tcBorders>
            <w:shd w:val="clear" w:color="auto" w:fill="auto"/>
            <w:vAlign w:val="center"/>
            <w:hideMark/>
          </w:tcPr>
          <w:p w:rsidR="00006A3B" w:rsidRPr="00006A3B" w:rsidRDefault="00006A3B" w:rsidP="00006A3B">
            <w:pPr>
              <w:spacing w:after="0" w:line="240" w:lineRule="auto"/>
              <w:jc w:val="center"/>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C-FSP 2021</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006A3B" w:rsidRPr="00006A3B" w:rsidRDefault="00006A3B" w:rsidP="00006A3B">
            <w:pPr>
              <w:spacing w:after="0" w:line="240" w:lineRule="auto"/>
              <w:jc w:val="center"/>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BUDGET ALLOCATION 2021/22</w:t>
            </w:r>
          </w:p>
        </w:tc>
        <w:tc>
          <w:tcPr>
            <w:tcW w:w="2990" w:type="dxa"/>
            <w:gridSpan w:val="4"/>
            <w:tcBorders>
              <w:top w:val="single" w:sz="4" w:space="0" w:color="auto"/>
              <w:left w:val="nil"/>
              <w:bottom w:val="single" w:sz="4" w:space="0" w:color="auto"/>
              <w:right w:val="single" w:sz="4" w:space="0" w:color="auto"/>
            </w:tcBorders>
            <w:shd w:val="clear" w:color="auto" w:fill="auto"/>
            <w:vAlign w:val="center"/>
            <w:hideMark/>
          </w:tcPr>
          <w:p w:rsidR="00006A3B" w:rsidRPr="00006A3B" w:rsidRDefault="00006A3B" w:rsidP="00006A3B">
            <w:pPr>
              <w:spacing w:after="0" w:line="240" w:lineRule="auto"/>
              <w:jc w:val="center"/>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Actual Expenditure FY 2021/22</w:t>
            </w:r>
          </w:p>
        </w:tc>
        <w:tc>
          <w:tcPr>
            <w:tcW w:w="1140" w:type="dxa"/>
            <w:gridSpan w:val="2"/>
            <w:tcBorders>
              <w:top w:val="single" w:sz="4" w:space="0" w:color="auto"/>
              <w:left w:val="nil"/>
              <w:bottom w:val="single" w:sz="4" w:space="0" w:color="auto"/>
              <w:right w:val="single" w:sz="4" w:space="0" w:color="auto"/>
            </w:tcBorders>
            <w:shd w:val="clear" w:color="auto" w:fill="auto"/>
            <w:vAlign w:val="center"/>
            <w:hideMark/>
          </w:tcPr>
          <w:p w:rsidR="00006A3B" w:rsidRPr="00006A3B" w:rsidRDefault="00006A3B" w:rsidP="00006A3B">
            <w:pPr>
              <w:spacing w:after="0" w:line="240" w:lineRule="auto"/>
              <w:jc w:val="center"/>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Absorption</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006A3B" w:rsidRPr="00006A3B" w:rsidRDefault="00006A3B" w:rsidP="00006A3B">
            <w:pPr>
              <w:spacing w:after="0" w:line="240" w:lineRule="auto"/>
              <w:jc w:val="center"/>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Deviation (%)</w:t>
            </w:r>
          </w:p>
        </w:tc>
      </w:tr>
      <w:tr w:rsidR="00006A3B" w:rsidRPr="00006A3B" w:rsidTr="00006A3B">
        <w:trPr>
          <w:trHeight w:val="45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 </w:t>
            </w:r>
          </w:p>
        </w:tc>
        <w:tc>
          <w:tcPr>
            <w:tcW w:w="1062" w:type="dxa"/>
            <w:tcBorders>
              <w:top w:val="nil"/>
              <w:left w:val="nil"/>
              <w:bottom w:val="single" w:sz="4" w:space="0" w:color="auto"/>
              <w:right w:val="single" w:sz="4" w:space="0" w:color="auto"/>
            </w:tcBorders>
            <w:shd w:val="clear" w:color="auto" w:fill="auto"/>
            <w:vAlign w:val="center"/>
            <w:hideMark/>
          </w:tcPr>
          <w:p w:rsidR="00006A3B" w:rsidRPr="00006A3B" w:rsidRDefault="00006A3B" w:rsidP="00006A3B">
            <w:pPr>
              <w:spacing w:after="0" w:line="240" w:lineRule="auto"/>
              <w:jc w:val="center"/>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REC</w:t>
            </w:r>
          </w:p>
        </w:tc>
        <w:tc>
          <w:tcPr>
            <w:tcW w:w="993" w:type="dxa"/>
            <w:tcBorders>
              <w:top w:val="nil"/>
              <w:left w:val="nil"/>
              <w:bottom w:val="single" w:sz="4" w:space="0" w:color="auto"/>
              <w:right w:val="single" w:sz="4" w:space="0" w:color="auto"/>
            </w:tcBorders>
            <w:shd w:val="clear" w:color="auto" w:fill="auto"/>
            <w:vAlign w:val="center"/>
            <w:hideMark/>
          </w:tcPr>
          <w:p w:rsidR="00006A3B" w:rsidRPr="00006A3B" w:rsidRDefault="00006A3B" w:rsidP="00006A3B">
            <w:pPr>
              <w:spacing w:after="0" w:line="240" w:lineRule="auto"/>
              <w:jc w:val="center"/>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DEV</w:t>
            </w:r>
          </w:p>
        </w:tc>
        <w:tc>
          <w:tcPr>
            <w:tcW w:w="993" w:type="dxa"/>
            <w:tcBorders>
              <w:top w:val="nil"/>
              <w:left w:val="nil"/>
              <w:bottom w:val="single" w:sz="4" w:space="0" w:color="auto"/>
              <w:right w:val="single" w:sz="4" w:space="0" w:color="auto"/>
            </w:tcBorders>
            <w:shd w:val="clear" w:color="auto" w:fill="auto"/>
            <w:vAlign w:val="center"/>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TOTAL</w:t>
            </w:r>
          </w:p>
        </w:tc>
        <w:tc>
          <w:tcPr>
            <w:tcW w:w="1345" w:type="dxa"/>
            <w:tcBorders>
              <w:top w:val="nil"/>
              <w:left w:val="nil"/>
              <w:bottom w:val="single" w:sz="4" w:space="0" w:color="auto"/>
              <w:right w:val="single" w:sz="4" w:space="0" w:color="auto"/>
            </w:tcBorders>
            <w:shd w:val="clear" w:color="auto" w:fill="auto"/>
            <w:vAlign w:val="center"/>
            <w:hideMark/>
          </w:tcPr>
          <w:p w:rsidR="00006A3B" w:rsidRPr="00006A3B" w:rsidRDefault="00006A3B" w:rsidP="00006A3B">
            <w:pPr>
              <w:spacing w:after="0" w:line="240" w:lineRule="auto"/>
              <w:jc w:val="center"/>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REC</w:t>
            </w:r>
          </w:p>
        </w:tc>
        <w:tc>
          <w:tcPr>
            <w:tcW w:w="992" w:type="dxa"/>
            <w:tcBorders>
              <w:top w:val="nil"/>
              <w:left w:val="nil"/>
              <w:bottom w:val="single" w:sz="4" w:space="0" w:color="auto"/>
              <w:right w:val="single" w:sz="4" w:space="0" w:color="auto"/>
            </w:tcBorders>
            <w:shd w:val="clear" w:color="auto" w:fill="auto"/>
            <w:vAlign w:val="center"/>
            <w:hideMark/>
          </w:tcPr>
          <w:p w:rsidR="00006A3B" w:rsidRPr="00006A3B" w:rsidRDefault="00006A3B" w:rsidP="00006A3B">
            <w:pPr>
              <w:spacing w:after="0" w:line="240" w:lineRule="auto"/>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 xml:space="preserve">DEV </w:t>
            </w:r>
          </w:p>
        </w:tc>
        <w:tc>
          <w:tcPr>
            <w:tcW w:w="923" w:type="dxa"/>
            <w:tcBorders>
              <w:top w:val="nil"/>
              <w:left w:val="nil"/>
              <w:bottom w:val="single" w:sz="4" w:space="0" w:color="auto"/>
              <w:right w:val="single" w:sz="4" w:space="0" w:color="auto"/>
            </w:tcBorders>
            <w:shd w:val="clear" w:color="auto" w:fill="auto"/>
            <w:vAlign w:val="center"/>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TOTAL</w:t>
            </w:r>
          </w:p>
        </w:tc>
        <w:tc>
          <w:tcPr>
            <w:tcW w:w="908" w:type="dxa"/>
            <w:tcBorders>
              <w:top w:val="nil"/>
              <w:left w:val="nil"/>
              <w:bottom w:val="single" w:sz="4" w:space="0" w:color="auto"/>
              <w:right w:val="single" w:sz="4" w:space="0" w:color="auto"/>
            </w:tcBorders>
            <w:shd w:val="clear" w:color="auto" w:fill="auto"/>
            <w:vAlign w:val="center"/>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REC</w:t>
            </w:r>
          </w:p>
        </w:tc>
        <w:tc>
          <w:tcPr>
            <w:tcW w:w="935" w:type="dxa"/>
            <w:tcBorders>
              <w:top w:val="nil"/>
              <w:left w:val="nil"/>
              <w:bottom w:val="single" w:sz="4" w:space="0" w:color="auto"/>
              <w:right w:val="single" w:sz="4" w:space="0" w:color="auto"/>
            </w:tcBorders>
            <w:shd w:val="clear" w:color="auto" w:fill="auto"/>
            <w:vAlign w:val="center"/>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DEV</w:t>
            </w:r>
          </w:p>
        </w:tc>
        <w:tc>
          <w:tcPr>
            <w:tcW w:w="1140" w:type="dxa"/>
            <w:tcBorders>
              <w:top w:val="nil"/>
              <w:left w:val="nil"/>
              <w:bottom w:val="single" w:sz="4" w:space="0" w:color="auto"/>
              <w:right w:val="single" w:sz="4" w:space="0" w:color="auto"/>
            </w:tcBorders>
            <w:shd w:val="clear" w:color="auto" w:fill="auto"/>
            <w:vAlign w:val="center"/>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TOTAL</w:t>
            </w:r>
          </w:p>
        </w:tc>
        <w:tc>
          <w:tcPr>
            <w:tcW w:w="1140" w:type="dxa"/>
            <w:gridSpan w:val="2"/>
            <w:tcBorders>
              <w:top w:val="nil"/>
              <w:left w:val="nil"/>
              <w:bottom w:val="single" w:sz="4" w:space="0" w:color="auto"/>
              <w:right w:val="single" w:sz="4" w:space="0" w:color="auto"/>
            </w:tcBorders>
            <w:shd w:val="clear" w:color="auto" w:fill="auto"/>
            <w:vAlign w:val="center"/>
            <w:hideMark/>
          </w:tcPr>
          <w:p w:rsidR="00006A3B" w:rsidRPr="00006A3B" w:rsidRDefault="00006A3B" w:rsidP="00006A3B">
            <w:pPr>
              <w:spacing w:after="0" w:line="240" w:lineRule="auto"/>
              <w:jc w:val="center"/>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w:t>
            </w:r>
          </w:p>
        </w:tc>
        <w:tc>
          <w:tcPr>
            <w:tcW w:w="980" w:type="dxa"/>
            <w:gridSpan w:val="2"/>
            <w:tcBorders>
              <w:top w:val="nil"/>
              <w:left w:val="nil"/>
              <w:bottom w:val="single" w:sz="4" w:space="0" w:color="auto"/>
              <w:right w:val="single" w:sz="4" w:space="0" w:color="auto"/>
            </w:tcBorders>
            <w:shd w:val="clear" w:color="auto" w:fill="auto"/>
            <w:vAlign w:val="center"/>
            <w:hideMark/>
          </w:tcPr>
          <w:p w:rsidR="00006A3B" w:rsidRPr="00006A3B" w:rsidRDefault="00006A3B" w:rsidP="00006A3B">
            <w:pPr>
              <w:spacing w:after="0" w:line="240" w:lineRule="auto"/>
              <w:jc w:val="center"/>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CFSP - BUDGET</w:t>
            </w:r>
          </w:p>
        </w:tc>
      </w:tr>
      <w:tr w:rsidR="00006A3B" w:rsidRPr="00006A3B" w:rsidTr="00006A3B">
        <w:trPr>
          <w:trHeight w:val="454"/>
        </w:trPr>
        <w:tc>
          <w:tcPr>
            <w:tcW w:w="3544" w:type="dxa"/>
            <w:tcBorders>
              <w:top w:val="nil"/>
              <w:left w:val="single" w:sz="4" w:space="0" w:color="auto"/>
              <w:bottom w:val="single" w:sz="4" w:space="0" w:color="auto"/>
              <w:right w:val="single" w:sz="4" w:space="0" w:color="auto"/>
            </w:tcBorders>
            <w:shd w:val="clear" w:color="auto" w:fill="auto"/>
            <w:hideMark/>
          </w:tcPr>
          <w:p w:rsidR="00006A3B" w:rsidRPr="00006A3B" w:rsidRDefault="00006A3B" w:rsidP="00006A3B">
            <w:pPr>
              <w:spacing w:after="0" w:line="240" w:lineRule="auto"/>
              <w:rPr>
                <w:rFonts w:ascii="Calibri" w:eastAsia="Times New Roman" w:hAnsi="Calibri" w:cs="Calibri"/>
                <w:color w:val="000000"/>
                <w:sz w:val="18"/>
                <w:szCs w:val="18"/>
              </w:rPr>
            </w:pPr>
            <w:r w:rsidRPr="00006A3B">
              <w:rPr>
                <w:rFonts w:ascii="Calibri" w:eastAsia="Times New Roman" w:hAnsi="Calibri" w:cs="Calibri"/>
                <w:color w:val="000000"/>
                <w:sz w:val="18"/>
                <w:szCs w:val="18"/>
              </w:rPr>
              <w:t>County Executive</w:t>
            </w:r>
          </w:p>
        </w:tc>
        <w:tc>
          <w:tcPr>
            <w:tcW w:w="1062"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550.00</w:t>
            </w:r>
          </w:p>
        </w:tc>
        <w:tc>
          <w:tcPr>
            <w:tcW w:w="993"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477.00</w:t>
            </w:r>
          </w:p>
        </w:tc>
        <w:tc>
          <w:tcPr>
            <w:tcW w:w="993"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1,027.00</w:t>
            </w:r>
          </w:p>
        </w:tc>
        <w:tc>
          <w:tcPr>
            <w:tcW w:w="1345"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535.00</w:t>
            </w:r>
          </w:p>
        </w:tc>
        <w:tc>
          <w:tcPr>
            <w:tcW w:w="992"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850.00</w:t>
            </w:r>
          </w:p>
        </w:tc>
        <w:tc>
          <w:tcPr>
            <w:tcW w:w="923"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1,385.00</w:t>
            </w:r>
          </w:p>
        </w:tc>
        <w:tc>
          <w:tcPr>
            <w:tcW w:w="908"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521.58</w:t>
            </w:r>
          </w:p>
        </w:tc>
        <w:tc>
          <w:tcPr>
            <w:tcW w:w="935"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842.05</w:t>
            </w:r>
          </w:p>
        </w:tc>
        <w:tc>
          <w:tcPr>
            <w:tcW w:w="1140"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1,363.63</w:t>
            </w:r>
          </w:p>
        </w:tc>
        <w:tc>
          <w:tcPr>
            <w:tcW w:w="1140" w:type="dxa"/>
            <w:gridSpan w:val="2"/>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center"/>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98%</w:t>
            </w:r>
          </w:p>
        </w:tc>
        <w:tc>
          <w:tcPr>
            <w:tcW w:w="980" w:type="dxa"/>
            <w:gridSpan w:val="2"/>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center"/>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-35%</w:t>
            </w:r>
          </w:p>
        </w:tc>
      </w:tr>
      <w:tr w:rsidR="00006A3B" w:rsidRPr="00006A3B" w:rsidTr="00006A3B">
        <w:trPr>
          <w:trHeight w:val="454"/>
        </w:trPr>
        <w:tc>
          <w:tcPr>
            <w:tcW w:w="3544" w:type="dxa"/>
            <w:tcBorders>
              <w:top w:val="nil"/>
              <w:left w:val="single" w:sz="4" w:space="0" w:color="auto"/>
              <w:bottom w:val="single" w:sz="4" w:space="0" w:color="auto"/>
              <w:right w:val="single" w:sz="4" w:space="0" w:color="auto"/>
            </w:tcBorders>
            <w:shd w:val="clear" w:color="auto" w:fill="auto"/>
            <w:hideMark/>
          </w:tcPr>
          <w:p w:rsidR="00006A3B" w:rsidRPr="00006A3B" w:rsidRDefault="00006A3B" w:rsidP="00006A3B">
            <w:pPr>
              <w:spacing w:after="0" w:line="240" w:lineRule="auto"/>
              <w:rPr>
                <w:rFonts w:ascii="Calibri" w:eastAsia="Times New Roman" w:hAnsi="Calibri" w:cs="Calibri"/>
                <w:color w:val="000000"/>
                <w:sz w:val="18"/>
                <w:szCs w:val="18"/>
              </w:rPr>
            </w:pPr>
            <w:r w:rsidRPr="00006A3B">
              <w:rPr>
                <w:rFonts w:ascii="Calibri" w:eastAsia="Times New Roman" w:hAnsi="Calibri" w:cs="Calibri"/>
                <w:color w:val="000000"/>
                <w:sz w:val="18"/>
                <w:szCs w:val="18"/>
              </w:rPr>
              <w:t>County Public Service Board</w:t>
            </w:r>
          </w:p>
        </w:tc>
        <w:tc>
          <w:tcPr>
            <w:tcW w:w="1062"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93.00</w:t>
            </w:r>
          </w:p>
        </w:tc>
        <w:tc>
          <w:tcPr>
            <w:tcW w:w="993"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7.00</w:t>
            </w:r>
          </w:p>
        </w:tc>
        <w:tc>
          <w:tcPr>
            <w:tcW w:w="993"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100.00</w:t>
            </w:r>
          </w:p>
        </w:tc>
        <w:tc>
          <w:tcPr>
            <w:tcW w:w="1345"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95.87</w:t>
            </w:r>
          </w:p>
        </w:tc>
        <w:tc>
          <w:tcPr>
            <w:tcW w:w="992"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7.00</w:t>
            </w:r>
          </w:p>
        </w:tc>
        <w:tc>
          <w:tcPr>
            <w:tcW w:w="923"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102.87</w:t>
            </w:r>
          </w:p>
        </w:tc>
        <w:tc>
          <w:tcPr>
            <w:tcW w:w="908"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90.06</w:t>
            </w:r>
          </w:p>
        </w:tc>
        <w:tc>
          <w:tcPr>
            <w:tcW w:w="935"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w:t>
            </w:r>
          </w:p>
        </w:tc>
        <w:tc>
          <w:tcPr>
            <w:tcW w:w="1140"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90.06</w:t>
            </w:r>
          </w:p>
        </w:tc>
        <w:tc>
          <w:tcPr>
            <w:tcW w:w="1140" w:type="dxa"/>
            <w:gridSpan w:val="2"/>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center"/>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88%</w:t>
            </w:r>
          </w:p>
        </w:tc>
        <w:tc>
          <w:tcPr>
            <w:tcW w:w="980" w:type="dxa"/>
            <w:gridSpan w:val="2"/>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center"/>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-3%</w:t>
            </w:r>
          </w:p>
        </w:tc>
      </w:tr>
      <w:tr w:rsidR="00006A3B" w:rsidRPr="00006A3B" w:rsidTr="00006A3B">
        <w:trPr>
          <w:trHeight w:val="454"/>
        </w:trPr>
        <w:tc>
          <w:tcPr>
            <w:tcW w:w="3544" w:type="dxa"/>
            <w:tcBorders>
              <w:top w:val="nil"/>
              <w:left w:val="single" w:sz="4" w:space="0" w:color="auto"/>
              <w:bottom w:val="single" w:sz="4" w:space="0" w:color="auto"/>
              <w:right w:val="single" w:sz="4" w:space="0" w:color="auto"/>
            </w:tcBorders>
            <w:shd w:val="clear" w:color="auto" w:fill="auto"/>
            <w:hideMark/>
          </w:tcPr>
          <w:p w:rsidR="00006A3B" w:rsidRPr="00006A3B" w:rsidRDefault="00006A3B" w:rsidP="00006A3B">
            <w:pPr>
              <w:spacing w:after="0" w:line="240" w:lineRule="auto"/>
              <w:rPr>
                <w:rFonts w:ascii="Calibri" w:eastAsia="Times New Roman" w:hAnsi="Calibri" w:cs="Calibri"/>
                <w:color w:val="000000"/>
                <w:sz w:val="18"/>
                <w:szCs w:val="18"/>
              </w:rPr>
            </w:pPr>
            <w:r w:rsidRPr="00006A3B">
              <w:rPr>
                <w:rFonts w:ascii="Calibri" w:eastAsia="Times New Roman" w:hAnsi="Calibri" w:cs="Calibri"/>
                <w:color w:val="000000"/>
                <w:sz w:val="18"/>
                <w:szCs w:val="18"/>
              </w:rPr>
              <w:t>Trade, Tourism, Industry &amp; Enterprise development</w:t>
            </w:r>
          </w:p>
        </w:tc>
        <w:tc>
          <w:tcPr>
            <w:tcW w:w="1062"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85.00</w:t>
            </w:r>
          </w:p>
        </w:tc>
        <w:tc>
          <w:tcPr>
            <w:tcW w:w="993"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110.00</w:t>
            </w:r>
          </w:p>
        </w:tc>
        <w:tc>
          <w:tcPr>
            <w:tcW w:w="993"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195.00</w:t>
            </w:r>
          </w:p>
        </w:tc>
        <w:tc>
          <w:tcPr>
            <w:tcW w:w="1345"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81.85</w:t>
            </w:r>
          </w:p>
        </w:tc>
        <w:tc>
          <w:tcPr>
            <w:tcW w:w="992"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10.00</w:t>
            </w:r>
          </w:p>
        </w:tc>
        <w:tc>
          <w:tcPr>
            <w:tcW w:w="923"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91.85</w:t>
            </w:r>
          </w:p>
        </w:tc>
        <w:tc>
          <w:tcPr>
            <w:tcW w:w="908"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60.57</w:t>
            </w:r>
          </w:p>
        </w:tc>
        <w:tc>
          <w:tcPr>
            <w:tcW w:w="935"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8.66</w:t>
            </w:r>
          </w:p>
        </w:tc>
        <w:tc>
          <w:tcPr>
            <w:tcW w:w="1140"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69.23</w:t>
            </w:r>
          </w:p>
        </w:tc>
        <w:tc>
          <w:tcPr>
            <w:tcW w:w="1140" w:type="dxa"/>
            <w:gridSpan w:val="2"/>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center"/>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75%</w:t>
            </w:r>
          </w:p>
        </w:tc>
        <w:tc>
          <w:tcPr>
            <w:tcW w:w="980" w:type="dxa"/>
            <w:gridSpan w:val="2"/>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center"/>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53%</w:t>
            </w:r>
          </w:p>
        </w:tc>
      </w:tr>
      <w:tr w:rsidR="00006A3B" w:rsidRPr="00006A3B" w:rsidTr="00006A3B">
        <w:trPr>
          <w:trHeight w:val="454"/>
        </w:trPr>
        <w:tc>
          <w:tcPr>
            <w:tcW w:w="3544" w:type="dxa"/>
            <w:tcBorders>
              <w:top w:val="nil"/>
              <w:left w:val="single" w:sz="4" w:space="0" w:color="auto"/>
              <w:bottom w:val="single" w:sz="4" w:space="0" w:color="auto"/>
              <w:right w:val="single" w:sz="4" w:space="0" w:color="auto"/>
            </w:tcBorders>
            <w:shd w:val="clear" w:color="auto" w:fill="auto"/>
            <w:hideMark/>
          </w:tcPr>
          <w:p w:rsidR="00006A3B" w:rsidRPr="00006A3B" w:rsidRDefault="00006A3B" w:rsidP="00006A3B">
            <w:pPr>
              <w:spacing w:after="0" w:line="240" w:lineRule="auto"/>
              <w:rPr>
                <w:rFonts w:ascii="Calibri" w:eastAsia="Times New Roman" w:hAnsi="Calibri" w:cs="Calibri"/>
                <w:color w:val="000000"/>
                <w:sz w:val="18"/>
                <w:szCs w:val="18"/>
              </w:rPr>
            </w:pPr>
            <w:r w:rsidRPr="00006A3B">
              <w:rPr>
                <w:rFonts w:ascii="Calibri" w:eastAsia="Times New Roman" w:hAnsi="Calibri" w:cs="Calibri"/>
                <w:color w:val="000000"/>
                <w:sz w:val="18"/>
                <w:szCs w:val="18"/>
              </w:rPr>
              <w:t>Culture &amp; Social Services</w:t>
            </w:r>
          </w:p>
        </w:tc>
        <w:tc>
          <w:tcPr>
            <w:tcW w:w="1062"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105.00</w:t>
            </w:r>
          </w:p>
        </w:tc>
        <w:tc>
          <w:tcPr>
            <w:tcW w:w="993"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57.00</w:t>
            </w:r>
          </w:p>
        </w:tc>
        <w:tc>
          <w:tcPr>
            <w:tcW w:w="993"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162.00</w:t>
            </w:r>
          </w:p>
        </w:tc>
        <w:tc>
          <w:tcPr>
            <w:tcW w:w="1345"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62.77</w:t>
            </w:r>
          </w:p>
        </w:tc>
        <w:tc>
          <w:tcPr>
            <w:tcW w:w="992"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22.00</w:t>
            </w:r>
          </w:p>
        </w:tc>
        <w:tc>
          <w:tcPr>
            <w:tcW w:w="923"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84.77</w:t>
            </w:r>
          </w:p>
        </w:tc>
        <w:tc>
          <w:tcPr>
            <w:tcW w:w="908"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53.47</w:t>
            </w:r>
          </w:p>
        </w:tc>
        <w:tc>
          <w:tcPr>
            <w:tcW w:w="935"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21.20</w:t>
            </w:r>
          </w:p>
        </w:tc>
        <w:tc>
          <w:tcPr>
            <w:tcW w:w="1140"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74.67</w:t>
            </w:r>
          </w:p>
        </w:tc>
        <w:tc>
          <w:tcPr>
            <w:tcW w:w="1140" w:type="dxa"/>
            <w:gridSpan w:val="2"/>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center"/>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88%</w:t>
            </w:r>
          </w:p>
        </w:tc>
        <w:tc>
          <w:tcPr>
            <w:tcW w:w="980" w:type="dxa"/>
            <w:gridSpan w:val="2"/>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center"/>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48%</w:t>
            </w:r>
          </w:p>
        </w:tc>
      </w:tr>
      <w:tr w:rsidR="00006A3B" w:rsidRPr="00006A3B" w:rsidTr="00006A3B">
        <w:trPr>
          <w:trHeight w:val="454"/>
        </w:trPr>
        <w:tc>
          <w:tcPr>
            <w:tcW w:w="3544" w:type="dxa"/>
            <w:tcBorders>
              <w:top w:val="nil"/>
              <w:left w:val="single" w:sz="4" w:space="0" w:color="auto"/>
              <w:bottom w:val="single" w:sz="4" w:space="0" w:color="auto"/>
              <w:right w:val="single" w:sz="4" w:space="0" w:color="auto"/>
            </w:tcBorders>
            <w:shd w:val="clear" w:color="auto" w:fill="auto"/>
            <w:hideMark/>
          </w:tcPr>
          <w:p w:rsidR="00006A3B" w:rsidRPr="00006A3B" w:rsidRDefault="00006A3B" w:rsidP="00006A3B">
            <w:pPr>
              <w:spacing w:after="0" w:line="240" w:lineRule="auto"/>
              <w:rPr>
                <w:rFonts w:ascii="Calibri" w:eastAsia="Times New Roman" w:hAnsi="Calibri" w:cs="Calibri"/>
                <w:color w:val="000000"/>
                <w:sz w:val="18"/>
                <w:szCs w:val="18"/>
              </w:rPr>
            </w:pPr>
            <w:r w:rsidRPr="00006A3B">
              <w:rPr>
                <w:rFonts w:ascii="Calibri" w:eastAsia="Times New Roman" w:hAnsi="Calibri" w:cs="Calibri"/>
                <w:color w:val="000000"/>
                <w:sz w:val="18"/>
                <w:szCs w:val="18"/>
              </w:rPr>
              <w:t>Finance Economic Planning</w:t>
            </w:r>
          </w:p>
        </w:tc>
        <w:tc>
          <w:tcPr>
            <w:tcW w:w="1062"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365.62</w:t>
            </w:r>
          </w:p>
        </w:tc>
        <w:tc>
          <w:tcPr>
            <w:tcW w:w="993"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145.00</w:t>
            </w:r>
          </w:p>
        </w:tc>
        <w:tc>
          <w:tcPr>
            <w:tcW w:w="993"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510.62</w:t>
            </w:r>
          </w:p>
        </w:tc>
        <w:tc>
          <w:tcPr>
            <w:tcW w:w="1345"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622.32</w:t>
            </w:r>
          </w:p>
        </w:tc>
        <w:tc>
          <w:tcPr>
            <w:tcW w:w="992"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1,675.99</w:t>
            </w:r>
          </w:p>
        </w:tc>
        <w:tc>
          <w:tcPr>
            <w:tcW w:w="923"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2,298.31</w:t>
            </w:r>
          </w:p>
        </w:tc>
        <w:tc>
          <w:tcPr>
            <w:tcW w:w="908"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598.85</w:t>
            </w:r>
          </w:p>
        </w:tc>
        <w:tc>
          <w:tcPr>
            <w:tcW w:w="935"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1,438.42</w:t>
            </w:r>
          </w:p>
        </w:tc>
        <w:tc>
          <w:tcPr>
            <w:tcW w:w="1140"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2,037.27</w:t>
            </w:r>
          </w:p>
        </w:tc>
        <w:tc>
          <w:tcPr>
            <w:tcW w:w="1140" w:type="dxa"/>
            <w:gridSpan w:val="2"/>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center"/>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89%</w:t>
            </w:r>
          </w:p>
        </w:tc>
        <w:tc>
          <w:tcPr>
            <w:tcW w:w="980" w:type="dxa"/>
            <w:gridSpan w:val="2"/>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center"/>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-350%</w:t>
            </w:r>
          </w:p>
        </w:tc>
      </w:tr>
      <w:tr w:rsidR="00006A3B" w:rsidRPr="00006A3B" w:rsidTr="00006A3B">
        <w:trPr>
          <w:trHeight w:val="454"/>
        </w:trPr>
        <w:tc>
          <w:tcPr>
            <w:tcW w:w="3544" w:type="dxa"/>
            <w:tcBorders>
              <w:top w:val="nil"/>
              <w:left w:val="single" w:sz="4" w:space="0" w:color="auto"/>
              <w:bottom w:val="single" w:sz="4" w:space="0" w:color="auto"/>
              <w:right w:val="single" w:sz="4" w:space="0" w:color="auto"/>
            </w:tcBorders>
            <w:shd w:val="clear" w:color="auto" w:fill="auto"/>
            <w:hideMark/>
          </w:tcPr>
          <w:p w:rsidR="00006A3B" w:rsidRPr="00006A3B" w:rsidRDefault="00006A3B" w:rsidP="00006A3B">
            <w:pPr>
              <w:spacing w:after="0" w:line="240" w:lineRule="auto"/>
              <w:rPr>
                <w:rFonts w:ascii="Calibri" w:eastAsia="Times New Roman" w:hAnsi="Calibri" w:cs="Calibri"/>
                <w:color w:val="000000"/>
                <w:sz w:val="18"/>
                <w:szCs w:val="18"/>
              </w:rPr>
            </w:pPr>
            <w:r w:rsidRPr="00006A3B">
              <w:rPr>
                <w:rFonts w:ascii="Calibri" w:eastAsia="Times New Roman" w:hAnsi="Calibri" w:cs="Calibri"/>
                <w:color w:val="000000"/>
                <w:sz w:val="18"/>
                <w:szCs w:val="18"/>
              </w:rPr>
              <w:t>County Assembly</w:t>
            </w:r>
          </w:p>
        </w:tc>
        <w:tc>
          <w:tcPr>
            <w:tcW w:w="1062"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700.00</w:t>
            </w:r>
          </w:p>
        </w:tc>
        <w:tc>
          <w:tcPr>
            <w:tcW w:w="993"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58.00</w:t>
            </w:r>
          </w:p>
        </w:tc>
        <w:tc>
          <w:tcPr>
            <w:tcW w:w="993"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758.00</w:t>
            </w:r>
          </w:p>
        </w:tc>
        <w:tc>
          <w:tcPr>
            <w:tcW w:w="1345"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799.16</w:t>
            </w:r>
          </w:p>
        </w:tc>
        <w:tc>
          <w:tcPr>
            <w:tcW w:w="992"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273.77</w:t>
            </w:r>
          </w:p>
        </w:tc>
        <w:tc>
          <w:tcPr>
            <w:tcW w:w="923"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1,072.93</w:t>
            </w:r>
          </w:p>
        </w:tc>
        <w:tc>
          <w:tcPr>
            <w:tcW w:w="908"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759.16</w:t>
            </w:r>
          </w:p>
        </w:tc>
        <w:tc>
          <w:tcPr>
            <w:tcW w:w="935"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19.37</w:t>
            </w:r>
          </w:p>
        </w:tc>
        <w:tc>
          <w:tcPr>
            <w:tcW w:w="1140"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778.53</w:t>
            </w:r>
          </w:p>
        </w:tc>
        <w:tc>
          <w:tcPr>
            <w:tcW w:w="1140" w:type="dxa"/>
            <w:gridSpan w:val="2"/>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center"/>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73%</w:t>
            </w:r>
          </w:p>
        </w:tc>
        <w:tc>
          <w:tcPr>
            <w:tcW w:w="980" w:type="dxa"/>
            <w:gridSpan w:val="2"/>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center"/>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-42%</w:t>
            </w:r>
          </w:p>
        </w:tc>
      </w:tr>
      <w:tr w:rsidR="00006A3B" w:rsidRPr="00006A3B" w:rsidTr="00006A3B">
        <w:trPr>
          <w:trHeight w:val="454"/>
        </w:trPr>
        <w:tc>
          <w:tcPr>
            <w:tcW w:w="3544" w:type="dxa"/>
            <w:tcBorders>
              <w:top w:val="nil"/>
              <w:left w:val="single" w:sz="4" w:space="0" w:color="auto"/>
              <w:bottom w:val="single" w:sz="4" w:space="0" w:color="auto"/>
              <w:right w:val="single" w:sz="4" w:space="0" w:color="auto"/>
            </w:tcBorders>
            <w:shd w:val="clear" w:color="auto" w:fill="auto"/>
            <w:hideMark/>
          </w:tcPr>
          <w:p w:rsidR="00006A3B" w:rsidRPr="00006A3B" w:rsidRDefault="00006A3B" w:rsidP="00006A3B">
            <w:pPr>
              <w:spacing w:after="0" w:line="240" w:lineRule="auto"/>
              <w:rPr>
                <w:rFonts w:ascii="Calibri" w:eastAsia="Times New Roman" w:hAnsi="Calibri" w:cs="Calibri"/>
                <w:color w:val="000000"/>
                <w:sz w:val="18"/>
                <w:szCs w:val="18"/>
              </w:rPr>
            </w:pPr>
            <w:r w:rsidRPr="00006A3B">
              <w:rPr>
                <w:rFonts w:ascii="Calibri" w:eastAsia="Times New Roman" w:hAnsi="Calibri" w:cs="Calibri"/>
                <w:color w:val="000000"/>
                <w:sz w:val="18"/>
                <w:szCs w:val="18"/>
              </w:rPr>
              <w:t xml:space="preserve">Education, Skills </w:t>
            </w:r>
            <w:proofErr w:type="spellStart"/>
            <w:r w:rsidRPr="00006A3B">
              <w:rPr>
                <w:rFonts w:ascii="Calibri" w:eastAsia="Times New Roman" w:hAnsi="Calibri" w:cs="Calibri"/>
                <w:color w:val="000000"/>
                <w:sz w:val="18"/>
                <w:szCs w:val="18"/>
              </w:rPr>
              <w:t>Devt</w:t>
            </w:r>
            <w:proofErr w:type="spellEnd"/>
            <w:r w:rsidRPr="00006A3B">
              <w:rPr>
                <w:rFonts w:ascii="Calibri" w:eastAsia="Times New Roman" w:hAnsi="Calibri" w:cs="Calibri"/>
                <w:color w:val="000000"/>
                <w:sz w:val="18"/>
                <w:szCs w:val="18"/>
              </w:rPr>
              <w:t>, Youths &amp; Sports</w:t>
            </w:r>
          </w:p>
        </w:tc>
        <w:tc>
          <w:tcPr>
            <w:tcW w:w="1062"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339.00</w:t>
            </w:r>
          </w:p>
        </w:tc>
        <w:tc>
          <w:tcPr>
            <w:tcW w:w="993"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300.00</w:t>
            </w:r>
          </w:p>
        </w:tc>
        <w:tc>
          <w:tcPr>
            <w:tcW w:w="993"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639.00</w:t>
            </w:r>
          </w:p>
        </w:tc>
        <w:tc>
          <w:tcPr>
            <w:tcW w:w="1345"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373.71</w:t>
            </w:r>
          </w:p>
        </w:tc>
        <w:tc>
          <w:tcPr>
            <w:tcW w:w="992"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133.65</w:t>
            </w:r>
          </w:p>
        </w:tc>
        <w:tc>
          <w:tcPr>
            <w:tcW w:w="923"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507.36</w:t>
            </w:r>
          </w:p>
        </w:tc>
        <w:tc>
          <w:tcPr>
            <w:tcW w:w="908"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351.13</w:t>
            </w:r>
          </w:p>
        </w:tc>
        <w:tc>
          <w:tcPr>
            <w:tcW w:w="935"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77.10</w:t>
            </w:r>
          </w:p>
        </w:tc>
        <w:tc>
          <w:tcPr>
            <w:tcW w:w="1140"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428.23</w:t>
            </w:r>
          </w:p>
        </w:tc>
        <w:tc>
          <w:tcPr>
            <w:tcW w:w="1140" w:type="dxa"/>
            <w:gridSpan w:val="2"/>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center"/>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84%</w:t>
            </w:r>
          </w:p>
        </w:tc>
        <w:tc>
          <w:tcPr>
            <w:tcW w:w="980" w:type="dxa"/>
            <w:gridSpan w:val="2"/>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center"/>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21%</w:t>
            </w:r>
          </w:p>
        </w:tc>
      </w:tr>
      <w:tr w:rsidR="00006A3B" w:rsidRPr="00006A3B" w:rsidTr="00006A3B">
        <w:trPr>
          <w:trHeight w:val="454"/>
        </w:trPr>
        <w:tc>
          <w:tcPr>
            <w:tcW w:w="3544" w:type="dxa"/>
            <w:tcBorders>
              <w:top w:val="nil"/>
              <w:left w:val="single" w:sz="4" w:space="0" w:color="auto"/>
              <w:bottom w:val="single" w:sz="4" w:space="0" w:color="auto"/>
              <w:right w:val="single" w:sz="4" w:space="0" w:color="auto"/>
            </w:tcBorders>
            <w:shd w:val="clear" w:color="auto" w:fill="auto"/>
            <w:hideMark/>
          </w:tcPr>
          <w:p w:rsidR="00006A3B" w:rsidRPr="00006A3B" w:rsidRDefault="00006A3B" w:rsidP="00006A3B">
            <w:pPr>
              <w:spacing w:after="0" w:line="240" w:lineRule="auto"/>
              <w:rPr>
                <w:rFonts w:ascii="Calibri" w:eastAsia="Times New Roman" w:hAnsi="Calibri" w:cs="Calibri"/>
                <w:color w:val="000000"/>
                <w:sz w:val="18"/>
                <w:szCs w:val="18"/>
              </w:rPr>
            </w:pPr>
            <w:r w:rsidRPr="00006A3B">
              <w:rPr>
                <w:rFonts w:ascii="Calibri" w:eastAsia="Times New Roman" w:hAnsi="Calibri" w:cs="Calibri"/>
                <w:color w:val="000000"/>
                <w:sz w:val="18"/>
                <w:szCs w:val="18"/>
              </w:rPr>
              <w:t>Energy, Lands  &amp; Urban Development</w:t>
            </w:r>
          </w:p>
        </w:tc>
        <w:tc>
          <w:tcPr>
            <w:tcW w:w="1062"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148.00</w:t>
            </w:r>
          </w:p>
        </w:tc>
        <w:tc>
          <w:tcPr>
            <w:tcW w:w="993"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98.00</w:t>
            </w:r>
          </w:p>
        </w:tc>
        <w:tc>
          <w:tcPr>
            <w:tcW w:w="993"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246.00</w:t>
            </w:r>
          </w:p>
        </w:tc>
        <w:tc>
          <w:tcPr>
            <w:tcW w:w="1345"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122.64</w:t>
            </w:r>
          </w:p>
        </w:tc>
        <w:tc>
          <w:tcPr>
            <w:tcW w:w="992"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148.41</w:t>
            </w:r>
          </w:p>
        </w:tc>
        <w:tc>
          <w:tcPr>
            <w:tcW w:w="923"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271.05</w:t>
            </w:r>
          </w:p>
        </w:tc>
        <w:tc>
          <w:tcPr>
            <w:tcW w:w="908"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119.98</w:t>
            </w:r>
          </w:p>
        </w:tc>
        <w:tc>
          <w:tcPr>
            <w:tcW w:w="935"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101.02</w:t>
            </w:r>
          </w:p>
        </w:tc>
        <w:tc>
          <w:tcPr>
            <w:tcW w:w="1140"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221.00</w:t>
            </w:r>
          </w:p>
        </w:tc>
        <w:tc>
          <w:tcPr>
            <w:tcW w:w="1140" w:type="dxa"/>
            <w:gridSpan w:val="2"/>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center"/>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82%</w:t>
            </w:r>
          </w:p>
        </w:tc>
        <w:tc>
          <w:tcPr>
            <w:tcW w:w="980" w:type="dxa"/>
            <w:gridSpan w:val="2"/>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center"/>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-10%</w:t>
            </w:r>
          </w:p>
        </w:tc>
      </w:tr>
      <w:tr w:rsidR="00006A3B" w:rsidRPr="00006A3B" w:rsidTr="00006A3B">
        <w:trPr>
          <w:trHeight w:val="454"/>
        </w:trPr>
        <w:tc>
          <w:tcPr>
            <w:tcW w:w="3544" w:type="dxa"/>
            <w:tcBorders>
              <w:top w:val="nil"/>
              <w:left w:val="single" w:sz="4" w:space="0" w:color="auto"/>
              <w:bottom w:val="single" w:sz="4" w:space="0" w:color="auto"/>
              <w:right w:val="single" w:sz="4" w:space="0" w:color="auto"/>
            </w:tcBorders>
            <w:shd w:val="clear" w:color="auto" w:fill="auto"/>
            <w:hideMark/>
          </w:tcPr>
          <w:p w:rsidR="00006A3B" w:rsidRPr="00006A3B" w:rsidRDefault="00006A3B" w:rsidP="00006A3B">
            <w:pPr>
              <w:spacing w:after="0" w:line="240" w:lineRule="auto"/>
              <w:rPr>
                <w:rFonts w:ascii="Calibri" w:eastAsia="Times New Roman" w:hAnsi="Calibri" w:cs="Calibri"/>
                <w:color w:val="000000"/>
                <w:sz w:val="18"/>
                <w:szCs w:val="18"/>
              </w:rPr>
            </w:pPr>
            <w:r w:rsidRPr="00006A3B">
              <w:rPr>
                <w:rFonts w:ascii="Calibri" w:eastAsia="Times New Roman" w:hAnsi="Calibri" w:cs="Calibri"/>
                <w:color w:val="000000"/>
                <w:sz w:val="18"/>
                <w:szCs w:val="18"/>
              </w:rPr>
              <w:t>Administration Coordination &amp;ICT</w:t>
            </w:r>
          </w:p>
        </w:tc>
        <w:tc>
          <w:tcPr>
            <w:tcW w:w="1062"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340.00</w:t>
            </w:r>
          </w:p>
        </w:tc>
        <w:tc>
          <w:tcPr>
            <w:tcW w:w="993"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20.00</w:t>
            </w:r>
          </w:p>
        </w:tc>
        <w:tc>
          <w:tcPr>
            <w:tcW w:w="993"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360.00</w:t>
            </w:r>
          </w:p>
        </w:tc>
        <w:tc>
          <w:tcPr>
            <w:tcW w:w="1345"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263.90</w:t>
            </w:r>
          </w:p>
        </w:tc>
        <w:tc>
          <w:tcPr>
            <w:tcW w:w="992"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44.00</w:t>
            </w:r>
          </w:p>
        </w:tc>
        <w:tc>
          <w:tcPr>
            <w:tcW w:w="923"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307.90</w:t>
            </w:r>
          </w:p>
        </w:tc>
        <w:tc>
          <w:tcPr>
            <w:tcW w:w="908"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221.25</w:t>
            </w:r>
          </w:p>
        </w:tc>
        <w:tc>
          <w:tcPr>
            <w:tcW w:w="935"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36.20</w:t>
            </w:r>
          </w:p>
        </w:tc>
        <w:tc>
          <w:tcPr>
            <w:tcW w:w="1140"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257.45</w:t>
            </w:r>
          </w:p>
        </w:tc>
        <w:tc>
          <w:tcPr>
            <w:tcW w:w="1140" w:type="dxa"/>
            <w:gridSpan w:val="2"/>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center"/>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84%</w:t>
            </w:r>
          </w:p>
        </w:tc>
        <w:tc>
          <w:tcPr>
            <w:tcW w:w="980" w:type="dxa"/>
            <w:gridSpan w:val="2"/>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center"/>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14%</w:t>
            </w:r>
          </w:p>
        </w:tc>
      </w:tr>
      <w:tr w:rsidR="00006A3B" w:rsidRPr="00006A3B" w:rsidTr="00006A3B">
        <w:trPr>
          <w:trHeight w:val="454"/>
        </w:trPr>
        <w:tc>
          <w:tcPr>
            <w:tcW w:w="3544" w:type="dxa"/>
            <w:tcBorders>
              <w:top w:val="nil"/>
              <w:left w:val="single" w:sz="4" w:space="0" w:color="auto"/>
              <w:bottom w:val="single" w:sz="4" w:space="0" w:color="auto"/>
              <w:right w:val="single" w:sz="4" w:space="0" w:color="auto"/>
            </w:tcBorders>
            <w:shd w:val="clear" w:color="auto" w:fill="auto"/>
            <w:hideMark/>
          </w:tcPr>
          <w:p w:rsidR="00006A3B" w:rsidRPr="00006A3B" w:rsidRDefault="00006A3B" w:rsidP="00006A3B">
            <w:pPr>
              <w:spacing w:after="0" w:line="240" w:lineRule="auto"/>
              <w:rPr>
                <w:rFonts w:ascii="Calibri" w:eastAsia="Times New Roman" w:hAnsi="Calibri" w:cs="Calibri"/>
                <w:color w:val="000000"/>
                <w:sz w:val="18"/>
                <w:szCs w:val="18"/>
              </w:rPr>
            </w:pPr>
            <w:r w:rsidRPr="00006A3B">
              <w:rPr>
                <w:rFonts w:ascii="Calibri" w:eastAsia="Times New Roman" w:hAnsi="Calibri" w:cs="Calibri"/>
                <w:color w:val="000000"/>
                <w:sz w:val="18"/>
                <w:szCs w:val="18"/>
              </w:rPr>
              <w:t>Roads, Transport and Infrastructure</w:t>
            </w:r>
          </w:p>
        </w:tc>
        <w:tc>
          <w:tcPr>
            <w:tcW w:w="1062"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103.00</w:t>
            </w:r>
          </w:p>
        </w:tc>
        <w:tc>
          <w:tcPr>
            <w:tcW w:w="993"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423.00</w:t>
            </w:r>
          </w:p>
        </w:tc>
        <w:tc>
          <w:tcPr>
            <w:tcW w:w="993"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526.00</w:t>
            </w:r>
          </w:p>
        </w:tc>
        <w:tc>
          <w:tcPr>
            <w:tcW w:w="1345"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89.39</w:t>
            </w:r>
          </w:p>
        </w:tc>
        <w:tc>
          <w:tcPr>
            <w:tcW w:w="992"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480.79</w:t>
            </w:r>
          </w:p>
        </w:tc>
        <w:tc>
          <w:tcPr>
            <w:tcW w:w="923"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570.18</w:t>
            </w:r>
          </w:p>
        </w:tc>
        <w:tc>
          <w:tcPr>
            <w:tcW w:w="908"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71.11</w:t>
            </w:r>
          </w:p>
        </w:tc>
        <w:tc>
          <w:tcPr>
            <w:tcW w:w="935"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161.65</w:t>
            </w:r>
          </w:p>
        </w:tc>
        <w:tc>
          <w:tcPr>
            <w:tcW w:w="1140"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232.76</w:t>
            </w:r>
          </w:p>
        </w:tc>
        <w:tc>
          <w:tcPr>
            <w:tcW w:w="1140" w:type="dxa"/>
            <w:gridSpan w:val="2"/>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center"/>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41%</w:t>
            </w:r>
          </w:p>
        </w:tc>
        <w:tc>
          <w:tcPr>
            <w:tcW w:w="980" w:type="dxa"/>
            <w:gridSpan w:val="2"/>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center"/>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-8%</w:t>
            </w:r>
          </w:p>
        </w:tc>
      </w:tr>
      <w:tr w:rsidR="00006A3B" w:rsidRPr="00006A3B" w:rsidTr="00006A3B">
        <w:trPr>
          <w:trHeight w:val="454"/>
        </w:trPr>
        <w:tc>
          <w:tcPr>
            <w:tcW w:w="3544" w:type="dxa"/>
            <w:tcBorders>
              <w:top w:val="nil"/>
              <w:left w:val="single" w:sz="4" w:space="0" w:color="auto"/>
              <w:bottom w:val="single" w:sz="4" w:space="0" w:color="auto"/>
              <w:right w:val="single" w:sz="4" w:space="0" w:color="auto"/>
            </w:tcBorders>
            <w:shd w:val="clear" w:color="auto" w:fill="auto"/>
            <w:hideMark/>
          </w:tcPr>
          <w:p w:rsidR="00006A3B" w:rsidRPr="00006A3B" w:rsidRDefault="00006A3B" w:rsidP="00006A3B">
            <w:pPr>
              <w:spacing w:after="0" w:line="240" w:lineRule="auto"/>
              <w:rPr>
                <w:rFonts w:ascii="Calibri" w:eastAsia="Times New Roman" w:hAnsi="Calibri" w:cs="Calibri"/>
                <w:color w:val="000000"/>
                <w:sz w:val="18"/>
                <w:szCs w:val="18"/>
              </w:rPr>
            </w:pPr>
            <w:r w:rsidRPr="00006A3B">
              <w:rPr>
                <w:rFonts w:ascii="Calibri" w:eastAsia="Times New Roman" w:hAnsi="Calibri" w:cs="Calibri"/>
                <w:color w:val="000000"/>
                <w:sz w:val="18"/>
                <w:szCs w:val="18"/>
              </w:rPr>
              <w:t>Water, Environment  and Natural Resources</w:t>
            </w:r>
          </w:p>
        </w:tc>
        <w:tc>
          <w:tcPr>
            <w:tcW w:w="1062"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143.00</w:t>
            </w:r>
          </w:p>
        </w:tc>
        <w:tc>
          <w:tcPr>
            <w:tcW w:w="993"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577.00</w:t>
            </w:r>
          </w:p>
        </w:tc>
        <w:tc>
          <w:tcPr>
            <w:tcW w:w="993"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720.00</w:t>
            </w:r>
          </w:p>
        </w:tc>
        <w:tc>
          <w:tcPr>
            <w:tcW w:w="1345"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134.32</w:t>
            </w:r>
          </w:p>
        </w:tc>
        <w:tc>
          <w:tcPr>
            <w:tcW w:w="992"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308.10</w:t>
            </w:r>
          </w:p>
        </w:tc>
        <w:tc>
          <w:tcPr>
            <w:tcW w:w="923"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442.42</w:t>
            </w:r>
          </w:p>
        </w:tc>
        <w:tc>
          <w:tcPr>
            <w:tcW w:w="908"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119.92</w:t>
            </w:r>
          </w:p>
        </w:tc>
        <w:tc>
          <w:tcPr>
            <w:tcW w:w="935"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145.75</w:t>
            </w:r>
          </w:p>
        </w:tc>
        <w:tc>
          <w:tcPr>
            <w:tcW w:w="1140"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265.67</w:t>
            </w:r>
          </w:p>
        </w:tc>
        <w:tc>
          <w:tcPr>
            <w:tcW w:w="1140" w:type="dxa"/>
            <w:gridSpan w:val="2"/>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center"/>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60%</w:t>
            </w:r>
          </w:p>
        </w:tc>
        <w:tc>
          <w:tcPr>
            <w:tcW w:w="980" w:type="dxa"/>
            <w:gridSpan w:val="2"/>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center"/>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39%</w:t>
            </w:r>
          </w:p>
        </w:tc>
      </w:tr>
      <w:tr w:rsidR="00006A3B" w:rsidRPr="00006A3B" w:rsidTr="00006A3B">
        <w:trPr>
          <w:trHeight w:val="454"/>
        </w:trPr>
        <w:tc>
          <w:tcPr>
            <w:tcW w:w="3544" w:type="dxa"/>
            <w:tcBorders>
              <w:top w:val="nil"/>
              <w:left w:val="single" w:sz="4" w:space="0" w:color="auto"/>
              <w:bottom w:val="single" w:sz="4" w:space="0" w:color="auto"/>
              <w:right w:val="single" w:sz="4" w:space="0" w:color="auto"/>
            </w:tcBorders>
            <w:shd w:val="clear" w:color="auto" w:fill="auto"/>
            <w:hideMark/>
          </w:tcPr>
          <w:p w:rsidR="00006A3B" w:rsidRPr="00006A3B" w:rsidRDefault="00006A3B" w:rsidP="00006A3B">
            <w:pPr>
              <w:spacing w:after="0" w:line="240" w:lineRule="auto"/>
              <w:rPr>
                <w:rFonts w:ascii="Calibri" w:eastAsia="Times New Roman" w:hAnsi="Calibri" w:cs="Calibri"/>
                <w:color w:val="000000"/>
                <w:sz w:val="18"/>
                <w:szCs w:val="18"/>
              </w:rPr>
            </w:pPr>
            <w:proofErr w:type="spellStart"/>
            <w:r w:rsidRPr="00006A3B">
              <w:rPr>
                <w:rFonts w:ascii="Calibri" w:eastAsia="Times New Roman" w:hAnsi="Calibri" w:cs="Calibri"/>
                <w:color w:val="000000"/>
                <w:sz w:val="18"/>
                <w:szCs w:val="18"/>
              </w:rPr>
              <w:t>Agric</w:t>
            </w:r>
            <w:proofErr w:type="spellEnd"/>
            <w:r w:rsidRPr="00006A3B">
              <w:rPr>
                <w:rFonts w:ascii="Calibri" w:eastAsia="Times New Roman" w:hAnsi="Calibri" w:cs="Calibri"/>
                <w:color w:val="000000"/>
                <w:sz w:val="18"/>
                <w:szCs w:val="18"/>
              </w:rPr>
              <w:t xml:space="preserve">, livestock and fisheries </w:t>
            </w:r>
            <w:proofErr w:type="spellStart"/>
            <w:r w:rsidRPr="00006A3B">
              <w:rPr>
                <w:rFonts w:ascii="Calibri" w:eastAsia="Times New Roman" w:hAnsi="Calibri" w:cs="Calibri"/>
                <w:color w:val="000000"/>
                <w:sz w:val="18"/>
                <w:szCs w:val="18"/>
              </w:rPr>
              <w:t>devt</w:t>
            </w:r>
            <w:proofErr w:type="spellEnd"/>
          </w:p>
        </w:tc>
        <w:tc>
          <w:tcPr>
            <w:tcW w:w="1062"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211.00</w:t>
            </w:r>
          </w:p>
        </w:tc>
        <w:tc>
          <w:tcPr>
            <w:tcW w:w="993"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574.00</w:t>
            </w:r>
          </w:p>
        </w:tc>
        <w:tc>
          <w:tcPr>
            <w:tcW w:w="993"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785.00</w:t>
            </w:r>
          </w:p>
        </w:tc>
        <w:tc>
          <w:tcPr>
            <w:tcW w:w="1345"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209.14</w:t>
            </w:r>
          </w:p>
        </w:tc>
        <w:tc>
          <w:tcPr>
            <w:tcW w:w="992"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135.96</w:t>
            </w:r>
          </w:p>
        </w:tc>
        <w:tc>
          <w:tcPr>
            <w:tcW w:w="923"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345.10</w:t>
            </w:r>
          </w:p>
        </w:tc>
        <w:tc>
          <w:tcPr>
            <w:tcW w:w="908"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199.25</w:t>
            </w:r>
          </w:p>
        </w:tc>
        <w:tc>
          <w:tcPr>
            <w:tcW w:w="935"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85.63</w:t>
            </w:r>
          </w:p>
        </w:tc>
        <w:tc>
          <w:tcPr>
            <w:tcW w:w="1140"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284.88</w:t>
            </w:r>
          </w:p>
        </w:tc>
        <w:tc>
          <w:tcPr>
            <w:tcW w:w="1140" w:type="dxa"/>
            <w:gridSpan w:val="2"/>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center"/>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83%</w:t>
            </w:r>
          </w:p>
        </w:tc>
        <w:tc>
          <w:tcPr>
            <w:tcW w:w="980" w:type="dxa"/>
            <w:gridSpan w:val="2"/>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center"/>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56%</w:t>
            </w:r>
          </w:p>
        </w:tc>
      </w:tr>
      <w:tr w:rsidR="00006A3B" w:rsidRPr="00006A3B" w:rsidTr="00006A3B">
        <w:trPr>
          <w:trHeight w:val="454"/>
        </w:trPr>
        <w:tc>
          <w:tcPr>
            <w:tcW w:w="3544" w:type="dxa"/>
            <w:tcBorders>
              <w:top w:val="nil"/>
              <w:left w:val="single" w:sz="4" w:space="0" w:color="auto"/>
              <w:bottom w:val="single" w:sz="4" w:space="0" w:color="auto"/>
              <w:right w:val="single" w:sz="4" w:space="0" w:color="auto"/>
            </w:tcBorders>
            <w:shd w:val="clear" w:color="auto" w:fill="auto"/>
            <w:hideMark/>
          </w:tcPr>
          <w:p w:rsidR="00006A3B" w:rsidRPr="00006A3B" w:rsidRDefault="00006A3B" w:rsidP="00006A3B">
            <w:pPr>
              <w:spacing w:after="0" w:line="240" w:lineRule="auto"/>
              <w:rPr>
                <w:rFonts w:ascii="Calibri" w:eastAsia="Times New Roman" w:hAnsi="Calibri" w:cs="Calibri"/>
                <w:color w:val="000000"/>
                <w:sz w:val="18"/>
                <w:szCs w:val="18"/>
              </w:rPr>
            </w:pPr>
            <w:r w:rsidRPr="00006A3B">
              <w:rPr>
                <w:rFonts w:ascii="Calibri" w:eastAsia="Times New Roman" w:hAnsi="Calibri" w:cs="Calibri"/>
                <w:color w:val="000000"/>
                <w:sz w:val="18"/>
                <w:szCs w:val="18"/>
              </w:rPr>
              <w:t>Health Services</w:t>
            </w:r>
          </w:p>
        </w:tc>
        <w:tc>
          <w:tcPr>
            <w:tcW w:w="1062"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1,318.00</w:t>
            </w:r>
          </w:p>
        </w:tc>
        <w:tc>
          <w:tcPr>
            <w:tcW w:w="993"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987.00</w:t>
            </w:r>
          </w:p>
        </w:tc>
        <w:tc>
          <w:tcPr>
            <w:tcW w:w="993"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2,305.00</w:t>
            </w:r>
          </w:p>
        </w:tc>
        <w:tc>
          <w:tcPr>
            <w:tcW w:w="1345"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1,335.47</w:t>
            </w:r>
          </w:p>
        </w:tc>
        <w:tc>
          <w:tcPr>
            <w:tcW w:w="992"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496.33</w:t>
            </w:r>
          </w:p>
        </w:tc>
        <w:tc>
          <w:tcPr>
            <w:tcW w:w="923"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1,831.80</w:t>
            </w:r>
          </w:p>
        </w:tc>
        <w:tc>
          <w:tcPr>
            <w:tcW w:w="908"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1,348.47</w:t>
            </w:r>
          </w:p>
        </w:tc>
        <w:tc>
          <w:tcPr>
            <w:tcW w:w="935"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color w:val="000000"/>
                <w:sz w:val="18"/>
                <w:szCs w:val="18"/>
              </w:rPr>
            </w:pPr>
            <w:r w:rsidRPr="00006A3B">
              <w:rPr>
                <w:rFonts w:ascii="Calibri" w:eastAsia="Times New Roman" w:hAnsi="Calibri" w:cs="Calibri"/>
                <w:color w:val="000000"/>
                <w:sz w:val="18"/>
                <w:szCs w:val="18"/>
              </w:rPr>
              <w:t>308.15</w:t>
            </w:r>
          </w:p>
        </w:tc>
        <w:tc>
          <w:tcPr>
            <w:tcW w:w="1140"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1,656.62</w:t>
            </w:r>
          </w:p>
        </w:tc>
        <w:tc>
          <w:tcPr>
            <w:tcW w:w="1140" w:type="dxa"/>
            <w:gridSpan w:val="2"/>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center"/>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90%</w:t>
            </w:r>
          </w:p>
        </w:tc>
        <w:tc>
          <w:tcPr>
            <w:tcW w:w="980" w:type="dxa"/>
            <w:gridSpan w:val="2"/>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center"/>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21%</w:t>
            </w:r>
          </w:p>
        </w:tc>
      </w:tr>
      <w:tr w:rsidR="00006A3B" w:rsidRPr="00006A3B" w:rsidTr="00006A3B">
        <w:trPr>
          <w:trHeight w:val="454"/>
        </w:trPr>
        <w:tc>
          <w:tcPr>
            <w:tcW w:w="3544" w:type="dxa"/>
            <w:tcBorders>
              <w:top w:val="nil"/>
              <w:left w:val="single" w:sz="4" w:space="0" w:color="auto"/>
              <w:bottom w:val="single" w:sz="4" w:space="0" w:color="auto"/>
              <w:right w:val="single" w:sz="4" w:space="0" w:color="auto"/>
            </w:tcBorders>
            <w:shd w:val="clear" w:color="auto" w:fill="auto"/>
            <w:hideMark/>
          </w:tcPr>
          <w:p w:rsidR="00006A3B" w:rsidRPr="00006A3B" w:rsidRDefault="00006A3B" w:rsidP="00006A3B">
            <w:pPr>
              <w:spacing w:after="0" w:line="240" w:lineRule="auto"/>
              <w:rPr>
                <w:rFonts w:ascii="Calibri" w:eastAsia="Times New Roman" w:hAnsi="Calibri" w:cs="Calibri"/>
                <w:color w:val="000000"/>
                <w:sz w:val="18"/>
                <w:szCs w:val="18"/>
              </w:rPr>
            </w:pPr>
            <w:r w:rsidRPr="00006A3B">
              <w:rPr>
                <w:rFonts w:ascii="Calibri" w:eastAsia="Times New Roman" w:hAnsi="Calibri" w:cs="Calibri"/>
                <w:color w:val="000000"/>
                <w:sz w:val="18"/>
                <w:szCs w:val="18"/>
              </w:rPr>
              <w:t>TOTAL</w:t>
            </w:r>
          </w:p>
        </w:tc>
        <w:tc>
          <w:tcPr>
            <w:tcW w:w="1062"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4,500.62</w:t>
            </w:r>
          </w:p>
        </w:tc>
        <w:tc>
          <w:tcPr>
            <w:tcW w:w="993"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3,833.00</w:t>
            </w:r>
          </w:p>
        </w:tc>
        <w:tc>
          <w:tcPr>
            <w:tcW w:w="993"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8,333.62</w:t>
            </w:r>
          </w:p>
        </w:tc>
        <w:tc>
          <w:tcPr>
            <w:tcW w:w="1345"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4,725.54</w:t>
            </w:r>
          </w:p>
        </w:tc>
        <w:tc>
          <w:tcPr>
            <w:tcW w:w="992"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4,586.00</w:t>
            </w:r>
          </w:p>
        </w:tc>
        <w:tc>
          <w:tcPr>
            <w:tcW w:w="923"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9,311.54</w:t>
            </w:r>
          </w:p>
        </w:tc>
        <w:tc>
          <w:tcPr>
            <w:tcW w:w="908"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4,514.80</w:t>
            </w:r>
          </w:p>
        </w:tc>
        <w:tc>
          <w:tcPr>
            <w:tcW w:w="935"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3,245.20</w:t>
            </w:r>
          </w:p>
        </w:tc>
        <w:tc>
          <w:tcPr>
            <w:tcW w:w="1140" w:type="dxa"/>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right"/>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7,760.00</w:t>
            </w:r>
          </w:p>
        </w:tc>
        <w:tc>
          <w:tcPr>
            <w:tcW w:w="1140" w:type="dxa"/>
            <w:gridSpan w:val="2"/>
            <w:tcBorders>
              <w:top w:val="nil"/>
              <w:left w:val="nil"/>
              <w:bottom w:val="single" w:sz="4" w:space="0" w:color="auto"/>
              <w:right w:val="single" w:sz="4" w:space="0" w:color="auto"/>
            </w:tcBorders>
            <w:shd w:val="clear" w:color="auto" w:fill="auto"/>
            <w:noWrap/>
            <w:hideMark/>
          </w:tcPr>
          <w:p w:rsidR="00006A3B" w:rsidRPr="00006A3B" w:rsidRDefault="00006A3B" w:rsidP="00006A3B">
            <w:pPr>
              <w:spacing w:after="0" w:line="240" w:lineRule="auto"/>
              <w:jc w:val="center"/>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83%</w:t>
            </w:r>
          </w:p>
        </w:tc>
        <w:tc>
          <w:tcPr>
            <w:tcW w:w="980" w:type="dxa"/>
            <w:gridSpan w:val="2"/>
            <w:tcBorders>
              <w:top w:val="nil"/>
              <w:left w:val="nil"/>
              <w:bottom w:val="single" w:sz="4" w:space="0" w:color="auto"/>
              <w:right w:val="single" w:sz="4" w:space="0" w:color="auto"/>
            </w:tcBorders>
            <w:shd w:val="clear" w:color="auto" w:fill="auto"/>
            <w:hideMark/>
          </w:tcPr>
          <w:p w:rsidR="00006A3B" w:rsidRPr="00006A3B" w:rsidRDefault="00006A3B" w:rsidP="00006A3B">
            <w:pPr>
              <w:spacing w:after="0" w:line="240" w:lineRule="auto"/>
              <w:jc w:val="center"/>
              <w:rPr>
                <w:rFonts w:ascii="Calibri" w:eastAsia="Times New Roman" w:hAnsi="Calibri" w:cs="Calibri"/>
                <w:b/>
                <w:bCs/>
                <w:color w:val="000000"/>
                <w:sz w:val="18"/>
                <w:szCs w:val="18"/>
              </w:rPr>
            </w:pPr>
            <w:r w:rsidRPr="00006A3B">
              <w:rPr>
                <w:rFonts w:ascii="Calibri" w:eastAsia="Times New Roman" w:hAnsi="Calibri" w:cs="Calibri"/>
                <w:b/>
                <w:bCs/>
                <w:color w:val="000000"/>
                <w:sz w:val="18"/>
                <w:szCs w:val="18"/>
              </w:rPr>
              <w:t>-12%</w:t>
            </w:r>
          </w:p>
        </w:tc>
      </w:tr>
    </w:tbl>
    <w:p w:rsidR="00006A3B" w:rsidRPr="00C4418D" w:rsidRDefault="00006A3B" w:rsidP="00395FB8">
      <w:pPr>
        <w:spacing w:before="5" w:after="158" w:line="283" w:lineRule="exact"/>
        <w:rPr>
          <w:rFonts w:cstheme="minorHAnsi"/>
          <w:b/>
          <w:bCs/>
        </w:rPr>
      </w:pPr>
    </w:p>
    <w:p w:rsidR="00395FB8" w:rsidRPr="00C4418D" w:rsidRDefault="00395FB8" w:rsidP="00395FB8">
      <w:pPr>
        <w:spacing w:before="5" w:after="158" w:line="283" w:lineRule="exact"/>
        <w:rPr>
          <w:rFonts w:cstheme="minorHAnsi"/>
        </w:rPr>
        <w:sectPr w:rsidR="00395FB8" w:rsidRPr="00C4418D" w:rsidSect="00395FB8">
          <w:pgSz w:w="16839" w:h="11907" w:orient="landscape" w:code="9"/>
          <w:pgMar w:top="1440" w:right="1440" w:bottom="1440" w:left="1440" w:header="720" w:footer="720" w:gutter="0"/>
          <w:cols w:space="720"/>
          <w:docGrid w:linePitch="360"/>
        </w:sectPr>
      </w:pPr>
    </w:p>
    <w:p w:rsidR="00321C23" w:rsidRPr="008E58C0" w:rsidRDefault="00006A3B" w:rsidP="00321C23">
      <w:pPr>
        <w:rPr>
          <w:rFonts w:cstheme="minorHAnsi"/>
          <w:sz w:val="24"/>
          <w:szCs w:val="24"/>
        </w:rPr>
      </w:pPr>
      <w:r>
        <w:rPr>
          <w:rFonts w:cstheme="minorHAnsi"/>
          <w:sz w:val="24"/>
          <w:szCs w:val="24"/>
        </w:rPr>
        <w:t>Comparison between CFSP 2021</w:t>
      </w:r>
      <w:r w:rsidR="00321C23" w:rsidRPr="008E58C0">
        <w:rPr>
          <w:rFonts w:cstheme="minorHAnsi"/>
          <w:sz w:val="24"/>
          <w:szCs w:val="24"/>
        </w:rPr>
        <w:t xml:space="preserve"> ceilings and </w:t>
      </w:r>
      <w:r>
        <w:rPr>
          <w:rFonts w:cstheme="minorHAnsi"/>
          <w:sz w:val="24"/>
          <w:szCs w:val="24"/>
        </w:rPr>
        <w:t>FY 2021/2022</w:t>
      </w:r>
      <w:r w:rsidR="00321C23" w:rsidRPr="008E58C0">
        <w:rPr>
          <w:rFonts w:cstheme="minorHAnsi"/>
          <w:sz w:val="24"/>
          <w:szCs w:val="24"/>
        </w:rPr>
        <w:t xml:space="preserve"> FY budget allocation showed a general growth in budget allocations occasioned by increase in equitable share of county revenue</w:t>
      </w:r>
      <w:r>
        <w:rPr>
          <w:rFonts w:cstheme="minorHAnsi"/>
          <w:sz w:val="24"/>
          <w:szCs w:val="24"/>
        </w:rPr>
        <w:t xml:space="preserve"> and an increase in the grants that resulted in an overall increase of 12% between the CFSP 2021 forecast and the actual approved budget for FY 2021/22. </w:t>
      </w:r>
      <w:r w:rsidR="00321C23" w:rsidRPr="008E58C0">
        <w:rPr>
          <w:rFonts w:cstheme="minorHAnsi"/>
          <w:sz w:val="24"/>
          <w:szCs w:val="24"/>
        </w:rPr>
        <w:t xml:space="preserve"> </w:t>
      </w:r>
      <w:r>
        <w:rPr>
          <w:rFonts w:cstheme="minorHAnsi"/>
          <w:sz w:val="24"/>
          <w:szCs w:val="24"/>
        </w:rPr>
        <w:t xml:space="preserve">As the increase was </w:t>
      </w:r>
      <w:proofErr w:type="spellStart"/>
      <w:r>
        <w:rPr>
          <w:rFonts w:cstheme="minorHAnsi"/>
          <w:sz w:val="24"/>
          <w:szCs w:val="24"/>
        </w:rPr>
        <w:t>programme</w:t>
      </w:r>
      <w:proofErr w:type="spellEnd"/>
      <w:r>
        <w:rPr>
          <w:rFonts w:cstheme="minorHAnsi"/>
          <w:sz w:val="24"/>
          <w:szCs w:val="24"/>
        </w:rPr>
        <w:t xml:space="preserve"> driven, the various sectors and departments had percentage increments in response to the available resources and with Finance and Economic planning registering the highest increase and Agriculture, livestock and fisheries registering the largest decline. It was also noted that the </w:t>
      </w:r>
      <w:r w:rsidR="00D91EA4" w:rsidRPr="008E58C0">
        <w:rPr>
          <w:rFonts w:cstheme="minorHAnsi"/>
          <w:sz w:val="24"/>
          <w:szCs w:val="24"/>
        </w:rPr>
        <w:t>reorganization</w:t>
      </w:r>
      <w:r w:rsidR="00321C23" w:rsidRPr="008E58C0">
        <w:rPr>
          <w:rFonts w:cstheme="minorHAnsi"/>
          <w:sz w:val="24"/>
          <w:szCs w:val="24"/>
        </w:rPr>
        <w:t xml:space="preserve"> of county departments and staff to enhance service delivery</w:t>
      </w:r>
      <w:r w:rsidR="004E145F">
        <w:rPr>
          <w:rFonts w:cstheme="minorHAnsi"/>
          <w:sz w:val="24"/>
          <w:szCs w:val="24"/>
        </w:rPr>
        <w:t xml:space="preserve"> also resulted in shifts in the spending departments</w:t>
      </w:r>
      <w:r w:rsidR="00321C23" w:rsidRPr="008E58C0">
        <w:rPr>
          <w:rFonts w:cstheme="minorHAnsi"/>
          <w:sz w:val="24"/>
          <w:szCs w:val="24"/>
        </w:rPr>
        <w:t>.</w:t>
      </w:r>
      <w:r w:rsidR="003B7F22" w:rsidRPr="008E58C0">
        <w:rPr>
          <w:rFonts w:cstheme="minorHAnsi"/>
          <w:sz w:val="24"/>
          <w:szCs w:val="24"/>
        </w:rPr>
        <w:t xml:space="preserve"> </w:t>
      </w:r>
      <w:r w:rsidR="004E145F">
        <w:rPr>
          <w:rFonts w:cstheme="minorHAnsi"/>
          <w:sz w:val="24"/>
          <w:szCs w:val="24"/>
        </w:rPr>
        <w:t xml:space="preserve">The spending units that registered increment in budgetary allocation include the County Public Service board (2%), County executive (34%), County Assembly (42%), Energy, lands and urban development (10%), and the Roads, transport and infrastructure (8.4%). The overall </w:t>
      </w:r>
      <w:r w:rsidR="009E3990" w:rsidRPr="008E58C0">
        <w:rPr>
          <w:rFonts w:cstheme="minorHAnsi"/>
          <w:sz w:val="24"/>
          <w:szCs w:val="24"/>
        </w:rPr>
        <w:t>impact was an increase in t</w:t>
      </w:r>
      <w:r w:rsidR="004E145F">
        <w:rPr>
          <w:rFonts w:cstheme="minorHAnsi"/>
          <w:sz w:val="24"/>
          <w:szCs w:val="24"/>
        </w:rPr>
        <w:t>he budget projected by CFSP 2021</w:t>
      </w:r>
      <w:r w:rsidR="009E3990" w:rsidRPr="008E58C0">
        <w:rPr>
          <w:rFonts w:cstheme="minorHAnsi"/>
          <w:sz w:val="24"/>
          <w:szCs w:val="24"/>
        </w:rPr>
        <w:t xml:space="preserve"> </w:t>
      </w:r>
      <w:r w:rsidR="004E145F">
        <w:rPr>
          <w:rFonts w:cstheme="minorHAnsi"/>
          <w:sz w:val="24"/>
          <w:szCs w:val="24"/>
        </w:rPr>
        <w:t>by 1</w:t>
      </w:r>
      <w:r w:rsidR="006D3C9D" w:rsidRPr="008E58C0">
        <w:rPr>
          <w:rFonts w:cstheme="minorHAnsi"/>
          <w:sz w:val="24"/>
          <w:szCs w:val="24"/>
        </w:rPr>
        <w:t xml:space="preserve">2% which was overall a favorable deviation. </w:t>
      </w:r>
    </w:p>
    <w:p w:rsidR="00342540" w:rsidRPr="0034609F" w:rsidRDefault="00342540" w:rsidP="0034609F">
      <w:pPr>
        <w:pStyle w:val="Heading1"/>
        <w:numPr>
          <w:ilvl w:val="3"/>
          <w:numId w:val="44"/>
        </w:numPr>
        <w:spacing w:before="240" w:after="240" w:line="240" w:lineRule="auto"/>
        <w:ind w:left="1080" w:hanging="1080"/>
        <w:rPr>
          <w:color w:val="auto"/>
          <w:sz w:val="24"/>
          <w:szCs w:val="24"/>
        </w:rPr>
      </w:pPr>
      <w:bookmarkStart w:id="27" w:name="_Toc525549619"/>
      <w:r w:rsidRPr="0034609F">
        <w:rPr>
          <w:color w:val="auto"/>
          <w:sz w:val="24"/>
          <w:szCs w:val="24"/>
        </w:rPr>
        <w:t>Recurrent and development expenditure</w:t>
      </w:r>
      <w:bookmarkEnd w:id="27"/>
    </w:p>
    <w:p w:rsidR="00ED0178" w:rsidRPr="008E58C0" w:rsidRDefault="004E145F" w:rsidP="006D7C8A">
      <w:pPr>
        <w:rPr>
          <w:rFonts w:cstheme="minorHAnsi"/>
          <w:sz w:val="24"/>
          <w:szCs w:val="24"/>
        </w:rPr>
      </w:pPr>
      <w:r>
        <w:rPr>
          <w:rFonts w:cstheme="minorHAnsi"/>
          <w:sz w:val="24"/>
          <w:szCs w:val="24"/>
        </w:rPr>
        <w:t>As shown in figure 2</w:t>
      </w:r>
      <w:r w:rsidR="00ED0178" w:rsidRPr="008E58C0">
        <w:rPr>
          <w:rFonts w:cstheme="minorHAnsi"/>
          <w:sz w:val="24"/>
          <w:szCs w:val="24"/>
        </w:rPr>
        <w:t xml:space="preserve"> below, absorption rates for recurrent and development votes for the</w:t>
      </w:r>
      <w:r>
        <w:rPr>
          <w:rFonts w:cstheme="minorHAnsi"/>
          <w:sz w:val="24"/>
          <w:szCs w:val="24"/>
        </w:rPr>
        <w:t xml:space="preserve"> FY 2020/21</w:t>
      </w:r>
      <w:r w:rsidR="006068A2" w:rsidRPr="008E58C0">
        <w:rPr>
          <w:rFonts w:cstheme="minorHAnsi"/>
          <w:sz w:val="24"/>
          <w:szCs w:val="24"/>
        </w:rPr>
        <w:t xml:space="preserve"> was </w:t>
      </w:r>
      <w:r>
        <w:rPr>
          <w:rFonts w:cstheme="minorHAnsi"/>
          <w:sz w:val="24"/>
          <w:szCs w:val="24"/>
        </w:rPr>
        <w:t>91% and 75% respectively. In FY 2021/22 the absorption rates were 96% and 71</w:t>
      </w:r>
      <w:r w:rsidR="00870598" w:rsidRPr="008E58C0">
        <w:rPr>
          <w:rFonts w:cstheme="minorHAnsi"/>
          <w:sz w:val="24"/>
          <w:szCs w:val="24"/>
        </w:rPr>
        <w:t>% respectively. The</w:t>
      </w:r>
      <w:r>
        <w:rPr>
          <w:rFonts w:cstheme="minorHAnsi"/>
          <w:sz w:val="24"/>
          <w:szCs w:val="24"/>
        </w:rPr>
        <w:t xml:space="preserve"> increase of 5% in recurrent and reduction of 4% in development expenditure </w:t>
      </w:r>
      <w:r w:rsidR="00870598" w:rsidRPr="008E58C0">
        <w:rPr>
          <w:rFonts w:cstheme="minorHAnsi"/>
          <w:sz w:val="24"/>
          <w:szCs w:val="24"/>
        </w:rPr>
        <w:t xml:space="preserve">between the two financial years was attributed to the </w:t>
      </w:r>
      <w:r w:rsidR="005301E4" w:rsidRPr="008E58C0">
        <w:rPr>
          <w:rFonts w:cstheme="minorHAnsi"/>
          <w:sz w:val="24"/>
          <w:szCs w:val="24"/>
        </w:rPr>
        <w:t>instability caused by the</w:t>
      </w:r>
      <w:r>
        <w:rPr>
          <w:rFonts w:cstheme="minorHAnsi"/>
          <w:sz w:val="24"/>
          <w:szCs w:val="24"/>
        </w:rPr>
        <w:t xml:space="preserve"> drought situation, effects of COVID and the impact of the</w:t>
      </w:r>
      <w:r w:rsidR="005301E4" w:rsidRPr="008E58C0">
        <w:rPr>
          <w:rFonts w:cstheme="minorHAnsi"/>
          <w:sz w:val="24"/>
          <w:szCs w:val="24"/>
        </w:rPr>
        <w:t xml:space="preserve"> long electioneering period. The</w:t>
      </w:r>
      <w:r>
        <w:rPr>
          <w:rFonts w:cstheme="minorHAnsi"/>
          <w:sz w:val="24"/>
          <w:szCs w:val="24"/>
        </w:rPr>
        <w:t xml:space="preserve"> delays in receiving the equitable share contributed to the rise in pending bills and contributed to unspent balance increase. </w:t>
      </w:r>
      <w:r w:rsidR="00694F6D" w:rsidRPr="008E58C0">
        <w:rPr>
          <w:rFonts w:cstheme="minorHAnsi"/>
          <w:sz w:val="24"/>
          <w:szCs w:val="24"/>
        </w:rPr>
        <w:t xml:space="preserve"> </w:t>
      </w:r>
    </w:p>
    <w:p w:rsidR="00ED0178" w:rsidRPr="00694F6D" w:rsidRDefault="004E145F" w:rsidP="006D7C8A">
      <w:pPr>
        <w:rPr>
          <w:rFonts w:cstheme="minorHAnsi"/>
          <w:b/>
        </w:rPr>
      </w:pPr>
      <w:r>
        <w:rPr>
          <w:rFonts w:cstheme="minorHAnsi"/>
          <w:b/>
        </w:rPr>
        <w:t>Figure 2</w:t>
      </w:r>
      <w:r w:rsidR="00ED0178" w:rsidRPr="00694F6D">
        <w:rPr>
          <w:rFonts w:cstheme="minorHAnsi"/>
          <w:b/>
        </w:rPr>
        <w:t xml:space="preserve"> – Recurrent Versus development</w:t>
      </w:r>
    </w:p>
    <w:p w:rsidR="00ED0178" w:rsidRPr="00C4418D" w:rsidRDefault="004E145F" w:rsidP="006D7C8A">
      <w:pPr>
        <w:rPr>
          <w:rFonts w:cstheme="minorHAnsi"/>
        </w:rPr>
      </w:pPr>
      <w:r w:rsidRPr="004E145F">
        <w:rPr>
          <w:noProof/>
        </w:rPr>
        <w:drawing>
          <wp:inline distT="0" distB="0" distL="0" distR="0">
            <wp:extent cx="5017515" cy="3420000"/>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7515" cy="3420000"/>
                    </a:xfrm>
                    <a:prstGeom prst="rect">
                      <a:avLst/>
                    </a:prstGeom>
                    <a:noFill/>
                    <a:ln>
                      <a:noFill/>
                    </a:ln>
                  </pic:spPr>
                </pic:pic>
              </a:graphicData>
            </a:graphic>
          </wp:inline>
        </w:drawing>
      </w:r>
    </w:p>
    <w:p w:rsidR="004235F0" w:rsidRPr="0034609F" w:rsidRDefault="004235F0" w:rsidP="0034609F">
      <w:pPr>
        <w:pStyle w:val="Heading1"/>
        <w:numPr>
          <w:ilvl w:val="3"/>
          <w:numId w:val="44"/>
        </w:numPr>
        <w:spacing w:before="240" w:after="240" w:line="240" w:lineRule="auto"/>
        <w:ind w:left="1080" w:hanging="1080"/>
        <w:rPr>
          <w:color w:val="auto"/>
          <w:sz w:val="24"/>
          <w:szCs w:val="24"/>
        </w:rPr>
      </w:pPr>
      <w:bookmarkStart w:id="28" w:name="_Toc525549620"/>
      <w:r w:rsidRPr="0034609F">
        <w:rPr>
          <w:color w:val="auto"/>
          <w:sz w:val="24"/>
          <w:szCs w:val="24"/>
        </w:rPr>
        <w:t>Expenditure per economic classification</w:t>
      </w:r>
      <w:bookmarkEnd w:id="28"/>
    </w:p>
    <w:p w:rsidR="00AE794C" w:rsidRPr="008E58C0" w:rsidRDefault="00AE794C" w:rsidP="006D7C8A">
      <w:pPr>
        <w:rPr>
          <w:rFonts w:cstheme="minorHAnsi"/>
          <w:sz w:val="24"/>
          <w:szCs w:val="24"/>
        </w:rPr>
      </w:pPr>
      <w:r w:rsidRPr="008E58C0">
        <w:rPr>
          <w:rFonts w:cstheme="minorHAnsi"/>
          <w:sz w:val="24"/>
          <w:szCs w:val="24"/>
        </w:rPr>
        <w:t>T</w:t>
      </w:r>
      <w:r w:rsidR="00FF0484" w:rsidRPr="008E58C0">
        <w:rPr>
          <w:rFonts w:cstheme="minorHAnsi"/>
          <w:sz w:val="24"/>
          <w:szCs w:val="24"/>
        </w:rPr>
        <w:t xml:space="preserve">he figure </w:t>
      </w:r>
      <w:r w:rsidR="00FF61A5" w:rsidRPr="008E58C0">
        <w:rPr>
          <w:rFonts w:cstheme="minorHAnsi"/>
          <w:sz w:val="24"/>
          <w:szCs w:val="24"/>
        </w:rPr>
        <w:t>2 below</w:t>
      </w:r>
      <w:r w:rsidRPr="008E58C0">
        <w:rPr>
          <w:rFonts w:cstheme="minorHAnsi"/>
          <w:sz w:val="24"/>
          <w:szCs w:val="24"/>
        </w:rPr>
        <w:t xml:space="preserve"> shows actual expenditure by economic classif</w:t>
      </w:r>
      <w:r w:rsidR="00980F0E" w:rsidRPr="008E58C0">
        <w:rPr>
          <w:rFonts w:cstheme="minorHAnsi"/>
          <w:sz w:val="24"/>
          <w:szCs w:val="24"/>
        </w:rPr>
        <w:t xml:space="preserve">ication; </w:t>
      </w:r>
      <w:r w:rsidR="00697969">
        <w:rPr>
          <w:rFonts w:cstheme="minorHAnsi"/>
          <w:sz w:val="24"/>
          <w:szCs w:val="24"/>
        </w:rPr>
        <w:t>personnel emoluments utilized 38</w:t>
      </w:r>
      <w:r w:rsidR="00980F0E" w:rsidRPr="008E58C0">
        <w:rPr>
          <w:rFonts w:cstheme="minorHAnsi"/>
          <w:sz w:val="24"/>
          <w:szCs w:val="24"/>
        </w:rPr>
        <w:t>% of the total expenditure w</w:t>
      </w:r>
      <w:r w:rsidR="00697969">
        <w:rPr>
          <w:rFonts w:cstheme="minorHAnsi"/>
          <w:sz w:val="24"/>
          <w:szCs w:val="24"/>
        </w:rPr>
        <w:t>hile operations accounted for 9</w:t>
      </w:r>
      <w:r w:rsidR="00980F0E" w:rsidRPr="008E58C0">
        <w:rPr>
          <w:rFonts w:cstheme="minorHAnsi"/>
          <w:sz w:val="24"/>
          <w:szCs w:val="24"/>
        </w:rPr>
        <w:t xml:space="preserve">% of the total </w:t>
      </w:r>
      <w:r w:rsidR="00FF0484" w:rsidRPr="008E58C0">
        <w:rPr>
          <w:rFonts w:cstheme="minorHAnsi"/>
          <w:sz w:val="24"/>
          <w:szCs w:val="24"/>
        </w:rPr>
        <w:t>revenue</w:t>
      </w:r>
      <w:r w:rsidR="00980F0E" w:rsidRPr="008E58C0">
        <w:rPr>
          <w:rFonts w:cstheme="minorHAnsi"/>
          <w:sz w:val="24"/>
          <w:szCs w:val="24"/>
        </w:rPr>
        <w:t>. Developm</w:t>
      </w:r>
      <w:r w:rsidR="00697969">
        <w:rPr>
          <w:rFonts w:cstheme="minorHAnsi"/>
          <w:sz w:val="24"/>
          <w:szCs w:val="24"/>
        </w:rPr>
        <w:t>ent expenditure accounted for 44</w:t>
      </w:r>
      <w:r w:rsidR="00FF0484" w:rsidRPr="008E58C0">
        <w:rPr>
          <w:rFonts w:cstheme="minorHAnsi"/>
          <w:sz w:val="24"/>
          <w:szCs w:val="24"/>
        </w:rPr>
        <w:t>% of the total revenu</w:t>
      </w:r>
      <w:r w:rsidR="00FF61A5" w:rsidRPr="008E58C0">
        <w:rPr>
          <w:rFonts w:cstheme="minorHAnsi"/>
          <w:sz w:val="24"/>
          <w:szCs w:val="24"/>
        </w:rPr>
        <w:t>e</w:t>
      </w:r>
      <w:r w:rsidR="00FF0484" w:rsidRPr="008E58C0">
        <w:rPr>
          <w:rFonts w:cstheme="minorHAnsi"/>
          <w:sz w:val="24"/>
          <w:szCs w:val="24"/>
        </w:rPr>
        <w:t xml:space="preserve"> and the </w:t>
      </w:r>
      <w:r w:rsidR="00D91EA4" w:rsidRPr="008E58C0">
        <w:rPr>
          <w:rFonts w:cstheme="minorHAnsi"/>
          <w:sz w:val="24"/>
          <w:szCs w:val="24"/>
        </w:rPr>
        <w:t>unutilized</w:t>
      </w:r>
      <w:r w:rsidR="00FF0484" w:rsidRPr="008E58C0">
        <w:rPr>
          <w:rFonts w:cstheme="minorHAnsi"/>
          <w:sz w:val="24"/>
          <w:szCs w:val="24"/>
        </w:rPr>
        <w:t xml:space="preserve"> ba</w:t>
      </w:r>
      <w:r w:rsidR="00697969">
        <w:rPr>
          <w:rFonts w:cstheme="minorHAnsi"/>
          <w:sz w:val="24"/>
          <w:szCs w:val="24"/>
        </w:rPr>
        <w:t>lance was 8</w:t>
      </w:r>
      <w:r w:rsidR="00FF61A5" w:rsidRPr="008E58C0">
        <w:rPr>
          <w:rFonts w:cstheme="minorHAnsi"/>
          <w:sz w:val="24"/>
          <w:szCs w:val="24"/>
        </w:rPr>
        <w:t>% of the total revenue</w:t>
      </w:r>
      <w:r w:rsidR="00FF0484" w:rsidRPr="008E58C0">
        <w:rPr>
          <w:rFonts w:cstheme="minorHAnsi"/>
          <w:sz w:val="24"/>
          <w:szCs w:val="24"/>
        </w:rPr>
        <w:t xml:space="preserve">. </w:t>
      </w:r>
    </w:p>
    <w:p w:rsidR="00FF0484" w:rsidRDefault="00A042AD" w:rsidP="00FF0484">
      <w:pPr>
        <w:rPr>
          <w:rFonts w:cstheme="minorHAnsi"/>
          <w:b/>
        </w:rPr>
      </w:pPr>
      <w:r>
        <w:rPr>
          <w:rFonts w:cstheme="minorHAnsi"/>
          <w:b/>
        </w:rPr>
        <w:t>Figure 3</w:t>
      </w:r>
      <w:r w:rsidR="00FF0484" w:rsidRPr="00694F6D">
        <w:rPr>
          <w:rFonts w:cstheme="minorHAnsi"/>
          <w:b/>
        </w:rPr>
        <w:t xml:space="preserve"> – </w:t>
      </w:r>
      <w:r w:rsidR="00FF0484">
        <w:rPr>
          <w:rFonts w:cstheme="minorHAnsi"/>
          <w:b/>
        </w:rPr>
        <w:t>Expenditure per economic classification</w:t>
      </w:r>
    </w:p>
    <w:p w:rsidR="00697969" w:rsidRDefault="00697969" w:rsidP="00FF0484">
      <w:pPr>
        <w:rPr>
          <w:rFonts w:cstheme="minorHAnsi"/>
          <w:b/>
        </w:rPr>
      </w:pPr>
      <w:r w:rsidRPr="00697969">
        <w:rPr>
          <w:noProof/>
        </w:rPr>
        <w:drawing>
          <wp:inline distT="0" distB="0" distL="0" distR="0">
            <wp:extent cx="4572000" cy="2748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2748280"/>
                    </a:xfrm>
                    <a:prstGeom prst="rect">
                      <a:avLst/>
                    </a:prstGeom>
                    <a:noFill/>
                    <a:ln>
                      <a:noFill/>
                    </a:ln>
                  </pic:spPr>
                </pic:pic>
              </a:graphicData>
            </a:graphic>
          </wp:inline>
        </w:drawing>
      </w:r>
    </w:p>
    <w:p w:rsidR="004235F0" w:rsidRPr="0034609F" w:rsidRDefault="004235F0" w:rsidP="0034609F">
      <w:pPr>
        <w:pStyle w:val="Heading1"/>
        <w:numPr>
          <w:ilvl w:val="2"/>
          <w:numId w:val="44"/>
        </w:numPr>
        <w:spacing w:before="240" w:after="240" w:line="240" w:lineRule="auto"/>
        <w:ind w:hanging="1224"/>
        <w:rPr>
          <w:color w:val="auto"/>
          <w:sz w:val="24"/>
          <w:szCs w:val="24"/>
        </w:rPr>
      </w:pPr>
      <w:bookmarkStart w:id="29" w:name="_Toc525549621"/>
      <w:r w:rsidRPr="0034609F">
        <w:rPr>
          <w:color w:val="auto"/>
          <w:sz w:val="24"/>
          <w:szCs w:val="24"/>
        </w:rPr>
        <w:t>Imp</w:t>
      </w:r>
      <w:r w:rsidR="00A042AD">
        <w:rPr>
          <w:color w:val="auto"/>
          <w:sz w:val="24"/>
          <w:szCs w:val="24"/>
        </w:rPr>
        <w:t>lications for the FY 2021/22</w:t>
      </w:r>
      <w:r w:rsidRPr="0034609F">
        <w:rPr>
          <w:color w:val="auto"/>
          <w:sz w:val="24"/>
          <w:szCs w:val="24"/>
        </w:rPr>
        <w:t xml:space="preserve"> performance</w:t>
      </w:r>
      <w:bookmarkEnd w:id="29"/>
    </w:p>
    <w:p w:rsidR="00FF61A5" w:rsidRDefault="00FF61A5" w:rsidP="004235F0">
      <w:pPr>
        <w:rPr>
          <w:rFonts w:cstheme="minorHAnsi"/>
          <w:sz w:val="24"/>
          <w:szCs w:val="24"/>
        </w:rPr>
      </w:pPr>
      <w:r w:rsidRPr="008E58C0">
        <w:rPr>
          <w:rFonts w:cstheme="minorHAnsi"/>
          <w:sz w:val="24"/>
          <w:szCs w:val="24"/>
        </w:rPr>
        <w:t>The f</w:t>
      </w:r>
      <w:r w:rsidR="00A042AD">
        <w:rPr>
          <w:rFonts w:cstheme="minorHAnsi"/>
          <w:sz w:val="24"/>
          <w:szCs w:val="24"/>
        </w:rPr>
        <w:t>iscal performance in the FY 2021/22</w:t>
      </w:r>
      <w:r w:rsidRPr="008E58C0">
        <w:rPr>
          <w:rFonts w:cstheme="minorHAnsi"/>
          <w:sz w:val="24"/>
          <w:szCs w:val="24"/>
        </w:rPr>
        <w:t xml:space="preserve"> has affected financia</w:t>
      </w:r>
      <w:r w:rsidR="00A042AD">
        <w:rPr>
          <w:rFonts w:cstheme="minorHAnsi"/>
          <w:sz w:val="24"/>
          <w:szCs w:val="24"/>
        </w:rPr>
        <w:t>l objectives set out in the 2022</w:t>
      </w:r>
      <w:r w:rsidRPr="008E58C0">
        <w:rPr>
          <w:rFonts w:cstheme="minorHAnsi"/>
          <w:sz w:val="24"/>
          <w:szCs w:val="24"/>
        </w:rPr>
        <w:t xml:space="preserve"> County Fiscal St</w:t>
      </w:r>
      <w:r w:rsidR="00A042AD">
        <w:rPr>
          <w:rFonts w:cstheme="minorHAnsi"/>
          <w:sz w:val="24"/>
          <w:szCs w:val="24"/>
        </w:rPr>
        <w:t>rategy Paper and the Budget 2022/</w:t>
      </w:r>
      <w:r w:rsidR="00AF7081">
        <w:rPr>
          <w:rFonts w:cstheme="minorHAnsi"/>
          <w:sz w:val="24"/>
          <w:szCs w:val="24"/>
        </w:rPr>
        <w:t>2</w:t>
      </w:r>
      <w:r w:rsidR="00A042AD">
        <w:rPr>
          <w:rFonts w:cstheme="minorHAnsi"/>
          <w:sz w:val="24"/>
          <w:szCs w:val="24"/>
        </w:rPr>
        <w:t>3</w:t>
      </w:r>
      <w:r w:rsidRPr="008E58C0">
        <w:rPr>
          <w:rFonts w:cstheme="minorHAnsi"/>
          <w:sz w:val="24"/>
          <w:szCs w:val="24"/>
        </w:rPr>
        <w:t xml:space="preserve"> in the following ways;</w:t>
      </w:r>
    </w:p>
    <w:p w:rsidR="00A042AD" w:rsidRPr="00A042AD" w:rsidRDefault="00A042AD" w:rsidP="00572767">
      <w:pPr>
        <w:rPr>
          <w:rFonts w:cstheme="minorHAnsi"/>
          <w:sz w:val="24"/>
          <w:szCs w:val="24"/>
        </w:rPr>
      </w:pPr>
      <w:r>
        <w:rPr>
          <w:rFonts w:cstheme="minorHAnsi"/>
          <w:sz w:val="24"/>
          <w:szCs w:val="24"/>
        </w:rPr>
        <w:t>The h</w:t>
      </w:r>
      <w:r w:rsidRPr="00A042AD">
        <w:rPr>
          <w:rFonts w:cstheme="minorHAnsi"/>
          <w:sz w:val="24"/>
          <w:szCs w:val="24"/>
        </w:rPr>
        <w:t>igh wag</w:t>
      </w:r>
      <w:r w:rsidR="00697969">
        <w:rPr>
          <w:rFonts w:cstheme="minorHAnsi"/>
          <w:sz w:val="24"/>
          <w:szCs w:val="24"/>
        </w:rPr>
        <w:t>e bill, which accounted for 38</w:t>
      </w:r>
      <w:r w:rsidRPr="00A042AD">
        <w:rPr>
          <w:rFonts w:cstheme="minorHAnsi"/>
          <w:sz w:val="24"/>
          <w:szCs w:val="24"/>
        </w:rPr>
        <w:t xml:space="preserve"> per cent of the annual </w:t>
      </w:r>
      <w:r w:rsidR="00216D7A" w:rsidRPr="00A042AD">
        <w:rPr>
          <w:rFonts w:cstheme="minorHAnsi"/>
          <w:sz w:val="24"/>
          <w:szCs w:val="24"/>
        </w:rPr>
        <w:t>realized</w:t>
      </w:r>
      <w:r w:rsidRPr="00A042AD">
        <w:rPr>
          <w:rFonts w:cstheme="minorHAnsi"/>
          <w:sz w:val="24"/>
          <w:szCs w:val="24"/>
        </w:rPr>
        <w:t xml:space="preserve"> rev</w:t>
      </w:r>
      <w:r w:rsidR="00697969">
        <w:rPr>
          <w:rFonts w:cstheme="minorHAnsi"/>
          <w:sz w:val="24"/>
          <w:szCs w:val="24"/>
        </w:rPr>
        <w:t>enue of Kshs.7.8</w:t>
      </w:r>
      <w:r>
        <w:rPr>
          <w:rFonts w:cstheme="minorHAnsi"/>
          <w:sz w:val="24"/>
          <w:szCs w:val="24"/>
        </w:rPr>
        <w:t xml:space="preserve"> billion in FY </w:t>
      </w:r>
      <w:r w:rsidRPr="00A042AD">
        <w:rPr>
          <w:rFonts w:cstheme="minorHAnsi"/>
          <w:sz w:val="24"/>
          <w:szCs w:val="24"/>
        </w:rPr>
        <w:t xml:space="preserve">2021/22, thus constraining funding to other </w:t>
      </w:r>
      <w:proofErr w:type="spellStart"/>
      <w:r w:rsidRPr="00A042AD">
        <w:rPr>
          <w:rFonts w:cstheme="minorHAnsi"/>
          <w:sz w:val="24"/>
          <w:szCs w:val="24"/>
        </w:rPr>
        <w:t>programmes</w:t>
      </w:r>
      <w:proofErr w:type="spellEnd"/>
      <w:r w:rsidRPr="00A042AD">
        <w:rPr>
          <w:rFonts w:cstheme="minorHAnsi"/>
          <w:sz w:val="24"/>
          <w:szCs w:val="24"/>
        </w:rPr>
        <w:t>.</w:t>
      </w:r>
      <w:r>
        <w:rPr>
          <w:rFonts w:cstheme="minorHAnsi"/>
          <w:sz w:val="24"/>
          <w:szCs w:val="24"/>
        </w:rPr>
        <w:t xml:space="preserve"> This also contravenes r</w:t>
      </w:r>
      <w:r w:rsidRPr="00A042AD">
        <w:rPr>
          <w:rFonts w:cstheme="minorHAnsi"/>
          <w:sz w:val="24"/>
          <w:szCs w:val="24"/>
        </w:rPr>
        <w:t>egulation 25 (1) (b) of the Public Finance Management (County Governments) Regulations, 2015 s</w:t>
      </w:r>
      <w:r w:rsidR="00572767">
        <w:rPr>
          <w:rFonts w:cstheme="minorHAnsi"/>
          <w:sz w:val="24"/>
          <w:szCs w:val="24"/>
        </w:rPr>
        <w:t xml:space="preserve">ets a limit </w:t>
      </w:r>
      <w:r w:rsidRPr="00A042AD">
        <w:rPr>
          <w:rFonts w:cstheme="minorHAnsi"/>
          <w:sz w:val="24"/>
          <w:szCs w:val="24"/>
        </w:rPr>
        <w:t>of the County Government’s expenditure on wages and benefits at 35 per cent of the County’s total revenue.</w:t>
      </w:r>
      <w:r w:rsidR="00572767">
        <w:rPr>
          <w:rFonts w:cstheme="minorHAnsi"/>
          <w:sz w:val="24"/>
          <w:szCs w:val="24"/>
        </w:rPr>
        <w:t xml:space="preserve"> </w:t>
      </w:r>
      <w:r w:rsidR="00572767" w:rsidRPr="00572767">
        <w:rPr>
          <w:rFonts w:cstheme="minorHAnsi"/>
          <w:sz w:val="24"/>
          <w:szCs w:val="24"/>
        </w:rPr>
        <w:t>The County Public Service Board</w:t>
      </w:r>
      <w:r w:rsidR="00572767">
        <w:rPr>
          <w:rFonts w:cstheme="minorHAnsi"/>
          <w:sz w:val="24"/>
          <w:szCs w:val="24"/>
        </w:rPr>
        <w:t xml:space="preserve"> is expected to </w:t>
      </w:r>
      <w:r w:rsidR="00572767" w:rsidRPr="00572767">
        <w:rPr>
          <w:rFonts w:cstheme="minorHAnsi"/>
          <w:sz w:val="24"/>
          <w:szCs w:val="24"/>
        </w:rPr>
        <w:t xml:space="preserve">establish an optimal staffing structure to </w:t>
      </w:r>
      <w:r w:rsidR="00572767">
        <w:rPr>
          <w:rFonts w:cstheme="minorHAnsi"/>
          <w:sz w:val="24"/>
          <w:szCs w:val="24"/>
        </w:rPr>
        <w:t xml:space="preserve">ensure expenditure on personnel </w:t>
      </w:r>
      <w:r w:rsidR="00572767" w:rsidRPr="00572767">
        <w:rPr>
          <w:rFonts w:cstheme="minorHAnsi"/>
          <w:sz w:val="24"/>
          <w:szCs w:val="24"/>
        </w:rPr>
        <w:t xml:space="preserve">emoluments complies with </w:t>
      </w:r>
      <w:r w:rsidR="00572767">
        <w:rPr>
          <w:rFonts w:cstheme="minorHAnsi"/>
          <w:sz w:val="24"/>
          <w:szCs w:val="24"/>
        </w:rPr>
        <w:t xml:space="preserve">the regulation. </w:t>
      </w:r>
    </w:p>
    <w:p w:rsidR="00A042AD" w:rsidRPr="00A042AD" w:rsidRDefault="00A042AD" w:rsidP="00A042AD">
      <w:pPr>
        <w:rPr>
          <w:rFonts w:cstheme="minorHAnsi"/>
          <w:sz w:val="24"/>
          <w:szCs w:val="24"/>
        </w:rPr>
      </w:pPr>
      <w:r w:rsidRPr="00A042AD">
        <w:rPr>
          <w:rFonts w:cstheme="minorHAnsi"/>
          <w:sz w:val="24"/>
          <w:szCs w:val="24"/>
        </w:rPr>
        <w:t>The underperformance of own-source revenue at Kshs.99.56 million against a</w:t>
      </w:r>
      <w:r w:rsidR="00572767">
        <w:rPr>
          <w:rFonts w:cstheme="minorHAnsi"/>
          <w:sz w:val="24"/>
          <w:szCs w:val="24"/>
        </w:rPr>
        <w:t xml:space="preserve">n annual projection of Kshs.170 </w:t>
      </w:r>
      <w:r w:rsidRPr="00A042AD">
        <w:rPr>
          <w:rFonts w:cstheme="minorHAnsi"/>
          <w:sz w:val="24"/>
          <w:szCs w:val="24"/>
        </w:rPr>
        <w:t>million, representing 58.</w:t>
      </w:r>
      <w:r w:rsidR="00572767">
        <w:rPr>
          <w:rFonts w:cstheme="minorHAnsi"/>
          <w:sz w:val="24"/>
          <w:szCs w:val="24"/>
        </w:rPr>
        <w:t>6 per cent of the annual target. T</w:t>
      </w:r>
      <w:r w:rsidR="00572767" w:rsidRPr="008E58C0">
        <w:rPr>
          <w:rFonts w:cstheme="minorHAnsi"/>
          <w:sz w:val="24"/>
          <w:szCs w:val="24"/>
        </w:rPr>
        <w:t>his under collection in revenue has warranted adjustment to projected revenues for the budget and in the medium term.</w:t>
      </w:r>
    </w:p>
    <w:p w:rsidR="00A042AD" w:rsidRPr="00A042AD" w:rsidRDefault="00572767" w:rsidP="00A042AD">
      <w:pPr>
        <w:rPr>
          <w:rFonts w:cstheme="minorHAnsi"/>
          <w:sz w:val="24"/>
          <w:szCs w:val="24"/>
        </w:rPr>
      </w:pPr>
      <w:r>
        <w:rPr>
          <w:rFonts w:cstheme="minorHAnsi"/>
          <w:sz w:val="24"/>
          <w:szCs w:val="24"/>
        </w:rPr>
        <w:t xml:space="preserve">The </w:t>
      </w:r>
      <w:r w:rsidR="00AC15D9">
        <w:rPr>
          <w:rFonts w:cstheme="minorHAnsi"/>
          <w:sz w:val="24"/>
          <w:szCs w:val="24"/>
        </w:rPr>
        <w:t>h</w:t>
      </w:r>
      <w:r w:rsidR="00A042AD" w:rsidRPr="00A042AD">
        <w:rPr>
          <w:rFonts w:cstheme="minorHAnsi"/>
          <w:sz w:val="24"/>
          <w:szCs w:val="24"/>
        </w:rPr>
        <w:t>igh level of pending bills, which amounted to Kshs.755.</w:t>
      </w:r>
      <w:r w:rsidR="00AC15D9">
        <w:rPr>
          <w:rFonts w:cstheme="minorHAnsi"/>
          <w:sz w:val="24"/>
          <w:szCs w:val="24"/>
        </w:rPr>
        <w:t xml:space="preserve">76 million as of 30th June 2022 and this continues to challenge the availability of funds and goodwill from the business community. This will be a key area of focus to spur economic development and ensure a vibrant business sector supported by the county </w:t>
      </w:r>
      <w:proofErr w:type="spellStart"/>
      <w:r w:rsidR="00AC15D9">
        <w:rPr>
          <w:rFonts w:cstheme="minorHAnsi"/>
          <w:sz w:val="24"/>
          <w:szCs w:val="24"/>
        </w:rPr>
        <w:t>programmes</w:t>
      </w:r>
      <w:proofErr w:type="spellEnd"/>
      <w:r w:rsidR="00AC15D9">
        <w:rPr>
          <w:rFonts w:cstheme="minorHAnsi"/>
          <w:sz w:val="24"/>
          <w:szCs w:val="24"/>
        </w:rPr>
        <w:t xml:space="preserve">. </w:t>
      </w:r>
    </w:p>
    <w:p w:rsidR="005E05AF" w:rsidRPr="008E58C0" w:rsidRDefault="00596FBF" w:rsidP="000356B9">
      <w:pPr>
        <w:rPr>
          <w:rFonts w:cstheme="minorHAnsi"/>
          <w:sz w:val="24"/>
          <w:szCs w:val="24"/>
        </w:rPr>
      </w:pPr>
      <w:r w:rsidRPr="008E58C0">
        <w:rPr>
          <w:rFonts w:cstheme="minorHAnsi"/>
          <w:sz w:val="24"/>
          <w:szCs w:val="24"/>
        </w:rPr>
        <w:t>T</w:t>
      </w:r>
      <w:r w:rsidR="00AC15D9">
        <w:rPr>
          <w:rFonts w:cstheme="minorHAnsi"/>
          <w:sz w:val="24"/>
          <w:szCs w:val="24"/>
        </w:rPr>
        <w:t>he under spending in the 2021/22</w:t>
      </w:r>
      <w:r w:rsidRPr="008E58C0">
        <w:rPr>
          <w:rFonts w:cstheme="minorHAnsi"/>
          <w:sz w:val="24"/>
          <w:szCs w:val="24"/>
        </w:rPr>
        <w:t xml:space="preserve"> FY budget has implications on the total county government revenue used to b</w:t>
      </w:r>
      <w:r w:rsidR="00AC15D9">
        <w:rPr>
          <w:rFonts w:cstheme="minorHAnsi"/>
          <w:sz w:val="24"/>
          <w:szCs w:val="24"/>
        </w:rPr>
        <w:t xml:space="preserve">ase expenditures for the FY 2022/23 MTEF.  </w:t>
      </w:r>
      <w:r w:rsidRPr="008E58C0">
        <w:rPr>
          <w:rFonts w:cstheme="minorHAnsi"/>
          <w:sz w:val="24"/>
          <w:szCs w:val="24"/>
        </w:rPr>
        <w:t xml:space="preserve">Appropriate revisions will be undertaken taking into account the </w:t>
      </w:r>
      <w:r w:rsidR="00AC15D9">
        <w:rPr>
          <w:rFonts w:cstheme="minorHAnsi"/>
          <w:sz w:val="24"/>
          <w:szCs w:val="24"/>
        </w:rPr>
        <w:t>fiscal performance of FY 2021/22</w:t>
      </w:r>
      <w:r w:rsidRPr="008E58C0">
        <w:rPr>
          <w:rFonts w:cstheme="minorHAnsi"/>
          <w:sz w:val="24"/>
          <w:szCs w:val="24"/>
        </w:rPr>
        <w:t>.</w:t>
      </w:r>
      <w:r w:rsidR="000356B9" w:rsidRPr="008E58C0">
        <w:rPr>
          <w:rFonts w:cstheme="minorHAnsi"/>
          <w:sz w:val="24"/>
          <w:szCs w:val="24"/>
        </w:rPr>
        <w:t xml:space="preserve"> </w:t>
      </w:r>
    </w:p>
    <w:p w:rsidR="005E05AF" w:rsidRPr="008E58C0" w:rsidRDefault="005E05AF" w:rsidP="000356B9">
      <w:pPr>
        <w:rPr>
          <w:rFonts w:cstheme="minorHAnsi"/>
          <w:sz w:val="24"/>
          <w:szCs w:val="24"/>
        </w:rPr>
        <w:sectPr w:rsidR="005E05AF" w:rsidRPr="008E58C0" w:rsidSect="00B0228A">
          <w:pgSz w:w="11907" w:h="16839" w:code="9"/>
          <w:pgMar w:top="1440" w:right="1440" w:bottom="1440" w:left="1440" w:header="720" w:footer="720" w:gutter="0"/>
          <w:cols w:space="720"/>
          <w:docGrid w:linePitch="360"/>
        </w:sectPr>
      </w:pPr>
      <w:r w:rsidRPr="008E58C0">
        <w:rPr>
          <w:rFonts w:cstheme="minorHAnsi"/>
          <w:sz w:val="24"/>
          <w:szCs w:val="24"/>
        </w:rPr>
        <w:t xml:space="preserve">Medium term projections have taken </w:t>
      </w:r>
      <w:r w:rsidR="00AC15D9">
        <w:rPr>
          <w:rFonts w:cstheme="minorHAnsi"/>
          <w:sz w:val="24"/>
          <w:szCs w:val="24"/>
        </w:rPr>
        <w:t>into account performance of 2021/22</w:t>
      </w:r>
      <w:r w:rsidRPr="008E58C0">
        <w:rPr>
          <w:rFonts w:cstheme="minorHAnsi"/>
          <w:sz w:val="24"/>
          <w:szCs w:val="24"/>
        </w:rPr>
        <w:t xml:space="preserve"> FY and macroeconomic factors expected at the national level. Table 2.4 below shows the county government fiscal projections in the medium term. Revenue collection will be maintained at</w:t>
      </w:r>
      <w:r w:rsidR="00AC15D9">
        <w:rPr>
          <w:rFonts w:cstheme="minorHAnsi"/>
          <w:sz w:val="24"/>
          <w:szCs w:val="24"/>
        </w:rPr>
        <w:t xml:space="preserve"> </w:t>
      </w:r>
      <w:proofErr w:type="spellStart"/>
      <w:r w:rsidR="00AC15D9">
        <w:rPr>
          <w:rFonts w:cstheme="minorHAnsi"/>
          <w:sz w:val="24"/>
          <w:szCs w:val="24"/>
        </w:rPr>
        <w:t>Kshs</w:t>
      </w:r>
      <w:proofErr w:type="spellEnd"/>
      <w:r w:rsidR="00AC15D9">
        <w:rPr>
          <w:rFonts w:cstheme="minorHAnsi"/>
          <w:sz w:val="24"/>
          <w:szCs w:val="24"/>
        </w:rPr>
        <w:t xml:space="preserve"> 170</w:t>
      </w:r>
      <w:r w:rsidR="004F4A3C" w:rsidRPr="008E58C0">
        <w:rPr>
          <w:rFonts w:cstheme="minorHAnsi"/>
          <w:sz w:val="24"/>
          <w:szCs w:val="24"/>
        </w:rPr>
        <w:t xml:space="preserve"> million </w:t>
      </w:r>
      <w:r w:rsidRPr="008E58C0">
        <w:rPr>
          <w:rFonts w:cstheme="minorHAnsi"/>
          <w:sz w:val="24"/>
          <w:szCs w:val="24"/>
        </w:rPr>
        <w:t>taking into account strategies employed towards raising revenue in the medium term. This include; passing of revenue legislations on revenue administration and collection, full automation of revenue collection and integration, strengthening and enforcing surveillance and sensitization of the public. In addition, recurrent and development expe</w:t>
      </w:r>
      <w:r w:rsidR="00697969">
        <w:rPr>
          <w:rFonts w:cstheme="minorHAnsi"/>
          <w:sz w:val="24"/>
          <w:szCs w:val="24"/>
        </w:rPr>
        <w:t>nditure will be maintained at 51 percent and 49</w:t>
      </w:r>
      <w:r w:rsidR="000356B9" w:rsidRPr="008E58C0">
        <w:rPr>
          <w:rFonts w:cstheme="minorHAnsi"/>
          <w:sz w:val="24"/>
          <w:szCs w:val="24"/>
        </w:rPr>
        <w:t xml:space="preserve"> per cent respectively surpassing</w:t>
      </w:r>
      <w:r w:rsidRPr="008E58C0">
        <w:rPr>
          <w:rFonts w:cstheme="minorHAnsi"/>
          <w:sz w:val="24"/>
          <w:szCs w:val="24"/>
        </w:rPr>
        <w:t xml:space="preserve"> the minimum 30 per cent requirement for development expenditure.</w:t>
      </w:r>
    </w:p>
    <w:p w:rsidR="00B0228A" w:rsidRDefault="00B0228A" w:rsidP="00B0228A">
      <w:pPr>
        <w:spacing w:before="15" w:after="157" w:line="277" w:lineRule="exact"/>
        <w:rPr>
          <w:rFonts w:cstheme="minorHAnsi"/>
          <w:b/>
          <w:bCs/>
          <w:spacing w:val="2"/>
          <w:sz w:val="23"/>
          <w:szCs w:val="23"/>
        </w:rPr>
      </w:pPr>
      <w:r w:rsidRPr="00C4418D">
        <w:rPr>
          <w:rFonts w:cstheme="minorHAnsi"/>
          <w:b/>
          <w:bCs/>
          <w:spacing w:val="2"/>
          <w:sz w:val="23"/>
          <w:szCs w:val="23"/>
        </w:rPr>
        <w:t>Table</w:t>
      </w:r>
      <w:r w:rsidR="00A878B9">
        <w:rPr>
          <w:rFonts w:cstheme="minorHAnsi"/>
          <w:b/>
          <w:bCs/>
          <w:spacing w:val="2"/>
          <w:sz w:val="23"/>
          <w:szCs w:val="23"/>
        </w:rPr>
        <w:t xml:space="preserve"> 2.</w:t>
      </w:r>
      <w:r w:rsidRPr="00C4418D">
        <w:rPr>
          <w:rFonts w:cstheme="minorHAnsi"/>
          <w:b/>
          <w:bCs/>
          <w:spacing w:val="2"/>
          <w:sz w:val="23"/>
          <w:szCs w:val="23"/>
        </w:rPr>
        <w:t>4 County Government Fiscal Projections in the Medium Term</w:t>
      </w:r>
    </w:p>
    <w:tbl>
      <w:tblPr>
        <w:tblW w:w="1473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2097"/>
        <w:gridCol w:w="1413"/>
        <w:gridCol w:w="1413"/>
        <w:gridCol w:w="1272"/>
        <w:gridCol w:w="1273"/>
        <w:gridCol w:w="1273"/>
        <w:gridCol w:w="1151"/>
        <w:gridCol w:w="1268"/>
        <w:gridCol w:w="1151"/>
        <w:gridCol w:w="1151"/>
        <w:gridCol w:w="1270"/>
      </w:tblGrid>
      <w:tr w:rsidR="00697969" w:rsidRPr="00697969" w:rsidTr="00697969">
        <w:trPr>
          <w:trHeight w:val="397"/>
        </w:trPr>
        <w:tc>
          <w:tcPr>
            <w:tcW w:w="2097" w:type="dxa"/>
            <w:vMerge w:val="restart"/>
            <w:shd w:val="clear" w:color="auto" w:fill="auto"/>
            <w:hideMark/>
          </w:tcPr>
          <w:p w:rsidR="00697969" w:rsidRPr="00697969" w:rsidRDefault="00697969" w:rsidP="00697969">
            <w:pPr>
              <w:spacing w:after="0" w:line="240" w:lineRule="auto"/>
              <w:rPr>
                <w:rFonts w:eastAsia="Times New Roman" w:cstheme="minorHAnsi"/>
                <w:color w:val="000000"/>
                <w:sz w:val="16"/>
                <w:szCs w:val="16"/>
              </w:rPr>
            </w:pPr>
            <w:r w:rsidRPr="00697969">
              <w:rPr>
                <w:rFonts w:eastAsia="Times New Roman" w:cstheme="minorHAnsi"/>
                <w:color w:val="000000"/>
                <w:sz w:val="16"/>
                <w:szCs w:val="16"/>
              </w:rPr>
              <w:t> </w:t>
            </w:r>
          </w:p>
        </w:tc>
        <w:tc>
          <w:tcPr>
            <w:tcW w:w="1413" w:type="dxa"/>
            <w:shd w:val="clear" w:color="auto" w:fill="auto"/>
            <w:vAlign w:val="center"/>
            <w:hideMark/>
          </w:tcPr>
          <w:p w:rsidR="00697969" w:rsidRPr="00697969" w:rsidRDefault="00697969" w:rsidP="00697969">
            <w:pPr>
              <w:spacing w:after="0" w:line="240" w:lineRule="auto"/>
              <w:jc w:val="right"/>
              <w:rPr>
                <w:rFonts w:eastAsia="Times New Roman" w:cstheme="minorHAnsi"/>
                <w:b/>
                <w:bCs/>
                <w:color w:val="000000"/>
                <w:sz w:val="16"/>
                <w:szCs w:val="16"/>
              </w:rPr>
            </w:pPr>
            <w:r w:rsidRPr="00697969">
              <w:rPr>
                <w:rFonts w:eastAsia="Times New Roman" w:cstheme="minorHAnsi"/>
                <w:b/>
                <w:bCs/>
                <w:color w:val="000000"/>
                <w:sz w:val="16"/>
                <w:szCs w:val="16"/>
              </w:rPr>
              <w:t>FY 2020/21</w:t>
            </w:r>
          </w:p>
        </w:tc>
        <w:tc>
          <w:tcPr>
            <w:tcW w:w="2685" w:type="dxa"/>
            <w:gridSpan w:val="2"/>
            <w:shd w:val="clear" w:color="auto" w:fill="auto"/>
            <w:vAlign w:val="center"/>
            <w:hideMark/>
          </w:tcPr>
          <w:p w:rsidR="00697969" w:rsidRPr="00697969" w:rsidRDefault="00697969" w:rsidP="00697969">
            <w:pPr>
              <w:spacing w:after="0" w:line="240" w:lineRule="auto"/>
              <w:jc w:val="center"/>
              <w:rPr>
                <w:rFonts w:eastAsia="Times New Roman" w:cstheme="minorHAnsi"/>
                <w:b/>
                <w:bCs/>
                <w:color w:val="000000"/>
                <w:sz w:val="16"/>
                <w:szCs w:val="16"/>
              </w:rPr>
            </w:pPr>
            <w:r w:rsidRPr="00697969">
              <w:rPr>
                <w:rFonts w:eastAsia="Times New Roman" w:cstheme="minorHAnsi"/>
                <w:b/>
                <w:bCs/>
                <w:color w:val="000000"/>
                <w:sz w:val="16"/>
                <w:szCs w:val="16"/>
              </w:rPr>
              <w:t>FY 2021/22</w:t>
            </w:r>
          </w:p>
        </w:tc>
        <w:tc>
          <w:tcPr>
            <w:tcW w:w="2546" w:type="dxa"/>
            <w:gridSpan w:val="2"/>
            <w:shd w:val="clear" w:color="auto" w:fill="auto"/>
            <w:vAlign w:val="center"/>
            <w:hideMark/>
          </w:tcPr>
          <w:p w:rsidR="00697969" w:rsidRPr="00697969" w:rsidRDefault="00697969" w:rsidP="00697969">
            <w:pPr>
              <w:spacing w:after="0" w:line="240" w:lineRule="auto"/>
              <w:jc w:val="center"/>
              <w:rPr>
                <w:rFonts w:eastAsia="Times New Roman" w:cstheme="minorHAnsi"/>
                <w:b/>
                <w:bCs/>
                <w:color w:val="000000"/>
                <w:sz w:val="16"/>
                <w:szCs w:val="16"/>
              </w:rPr>
            </w:pPr>
            <w:r w:rsidRPr="00697969">
              <w:rPr>
                <w:rFonts w:eastAsia="Times New Roman" w:cstheme="minorHAnsi"/>
                <w:b/>
                <w:bCs/>
                <w:color w:val="000000"/>
                <w:sz w:val="16"/>
                <w:szCs w:val="16"/>
              </w:rPr>
              <w:t>FY 2022/23</w:t>
            </w:r>
          </w:p>
        </w:tc>
        <w:tc>
          <w:tcPr>
            <w:tcW w:w="2419" w:type="dxa"/>
            <w:gridSpan w:val="2"/>
            <w:shd w:val="clear" w:color="auto" w:fill="auto"/>
            <w:vAlign w:val="center"/>
            <w:hideMark/>
          </w:tcPr>
          <w:p w:rsidR="00697969" w:rsidRPr="00697969" w:rsidRDefault="00697969" w:rsidP="00697969">
            <w:pPr>
              <w:spacing w:after="0" w:line="240" w:lineRule="auto"/>
              <w:jc w:val="center"/>
              <w:rPr>
                <w:rFonts w:eastAsia="Times New Roman" w:cstheme="minorHAnsi"/>
                <w:b/>
                <w:bCs/>
                <w:color w:val="000000"/>
                <w:sz w:val="16"/>
                <w:szCs w:val="16"/>
              </w:rPr>
            </w:pPr>
            <w:r w:rsidRPr="00697969">
              <w:rPr>
                <w:rFonts w:eastAsia="Times New Roman" w:cstheme="minorHAnsi"/>
                <w:b/>
                <w:bCs/>
                <w:color w:val="000000"/>
                <w:sz w:val="16"/>
                <w:szCs w:val="16"/>
              </w:rPr>
              <w:t>FY 2023/24</w:t>
            </w:r>
          </w:p>
        </w:tc>
        <w:tc>
          <w:tcPr>
            <w:tcW w:w="2302" w:type="dxa"/>
            <w:gridSpan w:val="2"/>
            <w:shd w:val="clear" w:color="auto" w:fill="auto"/>
            <w:vAlign w:val="center"/>
            <w:hideMark/>
          </w:tcPr>
          <w:p w:rsidR="00697969" w:rsidRPr="00697969" w:rsidRDefault="00697969" w:rsidP="00697969">
            <w:pPr>
              <w:spacing w:after="0" w:line="240" w:lineRule="auto"/>
              <w:jc w:val="center"/>
              <w:rPr>
                <w:rFonts w:eastAsia="Times New Roman" w:cstheme="minorHAnsi"/>
                <w:b/>
                <w:bCs/>
                <w:color w:val="000000"/>
                <w:sz w:val="16"/>
                <w:szCs w:val="16"/>
              </w:rPr>
            </w:pPr>
            <w:r w:rsidRPr="00697969">
              <w:rPr>
                <w:rFonts w:eastAsia="Times New Roman" w:cstheme="minorHAnsi"/>
                <w:b/>
                <w:bCs/>
                <w:color w:val="000000"/>
                <w:sz w:val="16"/>
                <w:szCs w:val="16"/>
              </w:rPr>
              <w:t>FY 2024/25</w:t>
            </w:r>
          </w:p>
        </w:tc>
        <w:tc>
          <w:tcPr>
            <w:tcW w:w="1270" w:type="dxa"/>
            <w:shd w:val="clear" w:color="auto" w:fill="auto"/>
            <w:vAlign w:val="center"/>
            <w:hideMark/>
          </w:tcPr>
          <w:p w:rsidR="00697969" w:rsidRPr="00697969" w:rsidRDefault="00697969" w:rsidP="00697969">
            <w:pPr>
              <w:spacing w:after="0" w:line="240" w:lineRule="auto"/>
              <w:jc w:val="center"/>
              <w:rPr>
                <w:rFonts w:eastAsia="Times New Roman" w:cstheme="minorHAnsi"/>
                <w:b/>
                <w:bCs/>
                <w:color w:val="000000"/>
                <w:sz w:val="16"/>
                <w:szCs w:val="16"/>
              </w:rPr>
            </w:pPr>
            <w:r w:rsidRPr="00697969">
              <w:rPr>
                <w:rFonts w:eastAsia="Times New Roman" w:cstheme="minorHAnsi"/>
                <w:b/>
                <w:bCs/>
                <w:color w:val="000000"/>
                <w:sz w:val="16"/>
                <w:szCs w:val="16"/>
              </w:rPr>
              <w:t>FY 2025/26</w:t>
            </w:r>
          </w:p>
        </w:tc>
      </w:tr>
      <w:tr w:rsidR="00697969" w:rsidRPr="00697969" w:rsidTr="00697969">
        <w:trPr>
          <w:trHeight w:val="397"/>
        </w:trPr>
        <w:tc>
          <w:tcPr>
            <w:tcW w:w="2097" w:type="dxa"/>
            <w:vMerge/>
            <w:vAlign w:val="center"/>
            <w:hideMark/>
          </w:tcPr>
          <w:p w:rsidR="00697969" w:rsidRPr="00697969" w:rsidRDefault="00697969" w:rsidP="00697969">
            <w:pPr>
              <w:spacing w:after="0" w:line="240" w:lineRule="auto"/>
              <w:rPr>
                <w:rFonts w:eastAsia="Times New Roman" w:cstheme="minorHAnsi"/>
                <w:color w:val="000000"/>
                <w:sz w:val="16"/>
                <w:szCs w:val="16"/>
              </w:rPr>
            </w:pPr>
          </w:p>
        </w:tc>
        <w:tc>
          <w:tcPr>
            <w:tcW w:w="1413" w:type="dxa"/>
            <w:shd w:val="clear" w:color="auto" w:fill="auto"/>
            <w:vAlign w:val="center"/>
            <w:hideMark/>
          </w:tcPr>
          <w:p w:rsidR="00697969" w:rsidRPr="00697969" w:rsidRDefault="00697969" w:rsidP="00697969">
            <w:pPr>
              <w:spacing w:after="0" w:line="240" w:lineRule="auto"/>
              <w:jc w:val="right"/>
              <w:rPr>
                <w:rFonts w:eastAsia="Times New Roman" w:cstheme="minorHAnsi"/>
                <w:b/>
                <w:bCs/>
                <w:color w:val="000000"/>
                <w:sz w:val="16"/>
                <w:szCs w:val="16"/>
              </w:rPr>
            </w:pPr>
            <w:r w:rsidRPr="00697969">
              <w:rPr>
                <w:rFonts w:eastAsia="Times New Roman" w:cstheme="minorHAnsi"/>
                <w:b/>
                <w:bCs/>
                <w:color w:val="000000"/>
                <w:sz w:val="16"/>
                <w:szCs w:val="16"/>
              </w:rPr>
              <w:t>Actual</w:t>
            </w:r>
          </w:p>
        </w:tc>
        <w:tc>
          <w:tcPr>
            <w:tcW w:w="1413" w:type="dxa"/>
            <w:shd w:val="clear" w:color="auto" w:fill="auto"/>
            <w:vAlign w:val="center"/>
            <w:hideMark/>
          </w:tcPr>
          <w:p w:rsidR="00697969" w:rsidRPr="00697969" w:rsidRDefault="00697969" w:rsidP="00697969">
            <w:pPr>
              <w:spacing w:after="0" w:line="240" w:lineRule="auto"/>
              <w:jc w:val="right"/>
              <w:rPr>
                <w:rFonts w:eastAsia="Times New Roman" w:cstheme="minorHAnsi"/>
                <w:b/>
                <w:bCs/>
                <w:color w:val="000000"/>
                <w:sz w:val="16"/>
                <w:szCs w:val="16"/>
              </w:rPr>
            </w:pPr>
            <w:r w:rsidRPr="00697969">
              <w:rPr>
                <w:rFonts w:eastAsia="Times New Roman" w:cstheme="minorHAnsi"/>
                <w:b/>
                <w:bCs/>
                <w:color w:val="000000"/>
                <w:sz w:val="16"/>
                <w:szCs w:val="16"/>
              </w:rPr>
              <w:t>Budget</w:t>
            </w:r>
          </w:p>
        </w:tc>
        <w:tc>
          <w:tcPr>
            <w:tcW w:w="1272" w:type="dxa"/>
            <w:shd w:val="clear" w:color="auto" w:fill="auto"/>
            <w:vAlign w:val="center"/>
            <w:hideMark/>
          </w:tcPr>
          <w:p w:rsidR="00697969" w:rsidRPr="00697969" w:rsidRDefault="00697969" w:rsidP="00697969">
            <w:pPr>
              <w:spacing w:after="0" w:line="240" w:lineRule="auto"/>
              <w:jc w:val="right"/>
              <w:rPr>
                <w:rFonts w:eastAsia="Times New Roman" w:cstheme="minorHAnsi"/>
                <w:b/>
                <w:bCs/>
                <w:color w:val="000000"/>
                <w:sz w:val="16"/>
                <w:szCs w:val="16"/>
              </w:rPr>
            </w:pPr>
            <w:r w:rsidRPr="00697969">
              <w:rPr>
                <w:rFonts w:eastAsia="Times New Roman" w:cstheme="minorHAnsi"/>
                <w:b/>
                <w:bCs/>
                <w:color w:val="000000"/>
                <w:sz w:val="16"/>
                <w:szCs w:val="16"/>
              </w:rPr>
              <w:t>Actual</w:t>
            </w:r>
          </w:p>
        </w:tc>
        <w:tc>
          <w:tcPr>
            <w:tcW w:w="1273" w:type="dxa"/>
            <w:shd w:val="clear" w:color="auto" w:fill="auto"/>
            <w:vAlign w:val="center"/>
            <w:hideMark/>
          </w:tcPr>
          <w:p w:rsidR="00697969" w:rsidRPr="00697969" w:rsidRDefault="00697969" w:rsidP="00697969">
            <w:pPr>
              <w:spacing w:after="0" w:line="240" w:lineRule="auto"/>
              <w:jc w:val="right"/>
              <w:rPr>
                <w:rFonts w:eastAsia="Times New Roman" w:cstheme="minorHAnsi"/>
                <w:b/>
                <w:bCs/>
                <w:color w:val="000000"/>
                <w:sz w:val="16"/>
                <w:szCs w:val="16"/>
              </w:rPr>
            </w:pPr>
            <w:r w:rsidRPr="00697969">
              <w:rPr>
                <w:rFonts w:eastAsia="Times New Roman" w:cstheme="minorHAnsi"/>
                <w:b/>
                <w:bCs/>
                <w:color w:val="000000"/>
                <w:sz w:val="16"/>
                <w:szCs w:val="16"/>
              </w:rPr>
              <w:t xml:space="preserve">Budget </w:t>
            </w:r>
          </w:p>
        </w:tc>
        <w:tc>
          <w:tcPr>
            <w:tcW w:w="1273" w:type="dxa"/>
            <w:shd w:val="clear" w:color="auto" w:fill="auto"/>
            <w:vAlign w:val="center"/>
            <w:hideMark/>
          </w:tcPr>
          <w:p w:rsidR="00697969" w:rsidRPr="00697969" w:rsidRDefault="00697969" w:rsidP="00697969">
            <w:pPr>
              <w:spacing w:after="0" w:line="240" w:lineRule="auto"/>
              <w:jc w:val="right"/>
              <w:rPr>
                <w:rFonts w:eastAsia="Times New Roman" w:cstheme="minorHAnsi"/>
                <w:b/>
                <w:bCs/>
                <w:color w:val="000000"/>
                <w:sz w:val="16"/>
                <w:szCs w:val="16"/>
              </w:rPr>
            </w:pPr>
            <w:r w:rsidRPr="00697969">
              <w:rPr>
                <w:rFonts w:eastAsia="Times New Roman" w:cstheme="minorHAnsi"/>
                <w:b/>
                <w:bCs/>
                <w:color w:val="000000"/>
                <w:sz w:val="16"/>
                <w:szCs w:val="16"/>
              </w:rPr>
              <w:t>CFSP 2022</w:t>
            </w:r>
          </w:p>
        </w:tc>
        <w:tc>
          <w:tcPr>
            <w:tcW w:w="1151" w:type="dxa"/>
            <w:shd w:val="clear" w:color="auto" w:fill="auto"/>
            <w:vAlign w:val="center"/>
            <w:hideMark/>
          </w:tcPr>
          <w:p w:rsidR="00697969" w:rsidRPr="00697969" w:rsidRDefault="00697969" w:rsidP="00697969">
            <w:pPr>
              <w:spacing w:after="0" w:line="240" w:lineRule="auto"/>
              <w:jc w:val="right"/>
              <w:rPr>
                <w:rFonts w:eastAsia="Times New Roman" w:cstheme="minorHAnsi"/>
                <w:b/>
                <w:bCs/>
                <w:color w:val="000000"/>
                <w:sz w:val="16"/>
                <w:szCs w:val="16"/>
              </w:rPr>
            </w:pPr>
            <w:r w:rsidRPr="00697969">
              <w:rPr>
                <w:rFonts w:eastAsia="Times New Roman" w:cstheme="minorHAnsi"/>
                <w:b/>
                <w:bCs/>
                <w:color w:val="000000"/>
                <w:sz w:val="16"/>
                <w:szCs w:val="16"/>
              </w:rPr>
              <w:t>CBROP 2022</w:t>
            </w:r>
          </w:p>
        </w:tc>
        <w:tc>
          <w:tcPr>
            <w:tcW w:w="1268" w:type="dxa"/>
            <w:shd w:val="clear" w:color="auto" w:fill="auto"/>
            <w:vAlign w:val="center"/>
            <w:hideMark/>
          </w:tcPr>
          <w:p w:rsidR="00697969" w:rsidRPr="00697969" w:rsidRDefault="00697969" w:rsidP="00697969">
            <w:pPr>
              <w:spacing w:after="0" w:line="240" w:lineRule="auto"/>
              <w:jc w:val="right"/>
              <w:rPr>
                <w:rFonts w:eastAsia="Times New Roman" w:cstheme="minorHAnsi"/>
                <w:b/>
                <w:bCs/>
                <w:color w:val="000000"/>
                <w:sz w:val="16"/>
                <w:szCs w:val="16"/>
              </w:rPr>
            </w:pPr>
            <w:r w:rsidRPr="00697969">
              <w:rPr>
                <w:rFonts w:eastAsia="Times New Roman" w:cstheme="minorHAnsi"/>
                <w:b/>
                <w:bCs/>
                <w:color w:val="000000"/>
                <w:sz w:val="16"/>
                <w:szCs w:val="16"/>
              </w:rPr>
              <w:t>CFSP 2022</w:t>
            </w:r>
          </w:p>
        </w:tc>
        <w:tc>
          <w:tcPr>
            <w:tcW w:w="1151" w:type="dxa"/>
            <w:shd w:val="clear" w:color="auto" w:fill="auto"/>
            <w:vAlign w:val="center"/>
            <w:hideMark/>
          </w:tcPr>
          <w:p w:rsidR="00697969" w:rsidRPr="00697969" w:rsidRDefault="00697969" w:rsidP="00697969">
            <w:pPr>
              <w:spacing w:after="0" w:line="240" w:lineRule="auto"/>
              <w:jc w:val="right"/>
              <w:rPr>
                <w:rFonts w:eastAsia="Times New Roman" w:cstheme="minorHAnsi"/>
                <w:b/>
                <w:bCs/>
                <w:color w:val="000000"/>
                <w:sz w:val="16"/>
                <w:szCs w:val="16"/>
              </w:rPr>
            </w:pPr>
            <w:r w:rsidRPr="00697969">
              <w:rPr>
                <w:rFonts w:eastAsia="Times New Roman" w:cstheme="minorHAnsi"/>
                <w:b/>
                <w:bCs/>
                <w:color w:val="000000"/>
                <w:sz w:val="16"/>
                <w:szCs w:val="16"/>
              </w:rPr>
              <w:t>CBROP 2022</w:t>
            </w:r>
          </w:p>
        </w:tc>
        <w:tc>
          <w:tcPr>
            <w:tcW w:w="1151" w:type="dxa"/>
            <w:shd w:val="clear" w:color="auto" w:fill="auto"/>
            <w:vAlign w:val="center"/>
            <w:hideMark/>
          </w:tcPr>
          <w:p w:rsidR="00697969" w:rsidRPr="00697969" w:rsidRDefault="00697969" w:rsidP="00697969">
            <w:pPr>
              <w:spacing w:after="0" w:line="240" w:lineRule="auto"/>
              <w:jc w:val="right"/>
              <w:rPr>
                <w:rFonts w:eastAsia="Times New Roman" w:cstheme="minorHAnsi"/>
                <w:b/>
                <w:bCs/>
                <w:color w:val="000000"/>
                <w:sz w:val="16"/>
                <w:szCs w:val="16"/>
              </w:rPr>
            </w:pPr>
            <w:r w:rsidRPr="00697969">
              <w:rPr>
                <w:rFonts w:eastAsia="Times New Roman" w:cstheme="minorHAnsi"/>
                <w:b/>
                <w:bCs/>
                <w:color w:val="000000"/>
                <w:sz w:val="16"/>
                <w:szCs w:val="16"/>
              </w:rPr>
              <w:t>CFSP 2022</w:t>
            </w:r>
          </w:p>
        </w:tc>
        <w:tc>
          <w:tcPr>
            <w:tcW w:w="1270" w:type="dxa"/>
            <w:shd w:val="clear" w:color="auto" w:fill="auto"/>
            <w:vAlign w:val="center"/>
            <w:hideMark/>
          </w:tcPr>
          <w:p w:rsidR="00697969" w:rsidRPr="00697969" w:rsidRDefault="00697969" w:rsidP="00697969">
            <w:pPr>
              <w:spacing w:after="0" w:line="240" w:lineRule="auto"/>
              <w:jc w:val="right"/>
              <w:rPr>
                <w:rFonts w:eastAsia="Times New Roman" w:cstheme="minorHAnsi"/>
                <w:b/>
                <w:bCs/>
                <w:color w:val="000000"/>
                <w:sz w:val="16"/>
                <w:szCs w:val="16"/>
              </w:rPr>
            </w:pPr>
            <w:r w:rsidRPr="00697969">
              <w:rPr>
                <w:rFonts w:eastAsia="Times New Roman" w:cstheme="minorHAnsi"/>
                <w:b/>
                <w:bCs/>
                <w:color w:val="000000"/>
                <w:sz w:val="16"/>
                <w:szCs w:val="16"/>
              </w:rPr>
              <w:t>CBROP 2022</w:t>
            </w:r>
          </w:p>
        </w:tc>
      </w:tr>
      <w:tr w:rsidR="00697969" w:rsidRPr="00697969" w:rsidTr="00697969">
        <w:trPr>
          <w:trHeight w:val="397"/>
        </w:trPr>
        <w:tc>
          <w:tcPr>
            <w:tcW w:w="2097" w:type="dxa"/>
            <w:shd w:val="clear" w:color="auto" w:fill="auto"/>
            <w:vAlign w:val="center"/>
            <w:hideMark/>
          </w:tcPr>
          <w:p w:rsidR="00697969" w:rsidRPr="00697969" w:rsidRDefault="00697969" w:rsidP="00697969">
            <w:pPr>
              <w:spacing w:after="0" w:line="240" w:lineRule="auto"/>
              <w:rPr>
                <w:rFonts w:eastAsia="Times New Roman" w:cstheme="minorHAnsi"/>
                <w:color w:val="000000"/>
                <w:sz w:val="16"/>
                <w:szCs w:val="16"/>
              </w:rPr>
            </w:pPr>
            <w:r w:rsidRPr="00697969">
              <w:rPr>
                <w:rFonts w:eastAsia="Times New Roman" w:cstheme="minorHAnsi"/>
                <w:color w:val="000000"/>
                <w:sz w:val="16"/>
                <w:szCs w:val="16"/>
              </w:rPr>
              <w:t>TOTAL REVENUE &amp; GRANTS</w:t>
            </w:r>
          </w:p>
        </w:tc>
        <w:tc>
          <w:tcPr>
            <w:tcW w:w="1413"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7,801,289,144</w:t>
            </w:r>
          </w:p>
        </w:tc>
        <w:tc>
          <w:tcPr>
            <w:tcW w:w="1413"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8,755,164,534</w:t>
            </w:r>
          </w:p>
        </w:tc>
        <w:tc>
          <w:tcPr>
            <w:tcW w:w="1272"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6,937,803,363</w:t>
            </w:r>
          </w:p>
        </w:tc>
        <w:tc>
          <w:tcPr>
            <w:tcW w:w="1273"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8,471,566,018</w:t>
            </w:r>
          </w:p>
        </w:tc>
        <w:tc>
          <w:tcPr>
            <w:tcW w:w="1273"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8,401,314,489</w:t>
            </w:r>
          </w:p>
        </w:tc>
        <w:tc>
          <w:tcPr>
            <w:tcW w:w="1151"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8,973,014,359</w:t>
            </w:r>
          </w:p>
        </w:tc>
        <w:tc>
          <w:tcPr>
            <w:tcW w:w="1268"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8,914,288,837</w:t>
            </w:r>
          </w:p>
        </w:tc>
        <w:tc>
          <w:tcPr>
            <w:tcW w:w="1151"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9,504,309,320</w:t>
            </w:r>
          </w:p>
        </w:tc>
        <w:tc>
          <w:tcPr>
            <w:tcW w:w="1151"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9,185,287,502</w:t>
            </w:r>
          </w:p>
        </w:tc>
        <w:tc>
          <w:tcPr>
            <w:tcW w:w="1270"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10,067,237,843</w:t>
            </w:r>
          </w:p>
        </w:tc>
      </w:tr>
      <w:tr w:rsidR="00697969" w:rsidRPr="00697969" w:rsidTr="00697969">
        <w:trPr>
          <w:trHeight w:val="397"/>
        </w:trPr>
        <w:tc>
          <w:tcPr>
            <w:tcW w:w="2097" w:type="dxa"/>
            <w:shd w:val="clear" w:color="auto" w:fill="auto"/>
            <w:vAlign w:val="center"/>
            <w:hideMark/>
          </w:tcPr>
          <w:p w:rsidR="00697969" w:rsidRPr="00697969" w:rsidRDefault="00697969" w:rsidP="00697969">
            <w:pPr>
              <w:spacing w:after="0" w:line="240" w:lineRule="auto"/>
              <w:rPr>
                <w:rFonts w:eastAsia="Times New Roman" w:cstheme="minorHAnsi"/>
                <w:color w:val="000000"/>
                <w:sz w:val="16"/>
                <w:szCs w:val="16"/>
              </w:rPr>
            </w:pPr>
            <w:r w:rsidRPr="00697969">
              <w:rPr>
                <w:rFonts w:eastAsia="Times New Roman" w:cstheme="minorHAnsi"/>
                <w:color w:val="000000"/>
                <w:sz w:val="16"/>
                <w:szCs w:val="16"/>
              </w:rPr>
              <w:t xml:space="preserve">Unspent Bal </w:t>
            </w:r>
            <w:proofErr w:type="spellStart"/>
            <w:r w:rsidRPr="00697969">
              <w:rPr>
                <w:rFonts w:eastAsia="Times New Roman" w:cstheme="minorHAnsi"/>
                <w:color w:val="000000"/>
                <w:sz w:val="16"/>
                <w:szCs w:val="16"/>
              </w:rPr>
              <w:t>b/f</w:t>
            </w:r>
            <w:proofErr w:type="spellEnd"/>
            <w:r w:rsidRPr="00697969">
              <w:rPr>
                <w:rFonts w:eastAsia="Times New Roman" w:cstheme="minorHAnsi"/>
                <w:color w:val="000000"/>
                <w:sz w:val="16"/>
                <w:szCs w:val="16"/>
              </w:rPr>
              <w:t xml:space="preserve"> \Previous FY</w:t>
            </w:r>
          </w:p>
        </w:tc>
        <w:tc>
          <w:tcPr>
            <w:tcW w:w="1413"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578,814,049</w:t>
            </w:r>
          </w:p>
        </w:tc>
        <w:tc>
          <w:tcPr>
            <w:tcW w:w="1413"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576,376,950</w:t>
            </w:r>
          </w:p>
        </w:tc>
        <w:tc>
          <w:tcPr>
            <w:tcW w:w="1272"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576,376,950</w:t>
            </w:r>
          </w:p>
        </w:tc>
        <w:tc>
          <w:tcPr>
            <w:tcW w:w="1273"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582,160,319</w:t>
            </w:r>
          </w:p>
        </w:tc>
        <w:tc>
          <w:tcPr>
            <w:tcW w:w="1273" w:type="dxa"/>
            <w:shd w:val="clear" w:color="auto" w:fill="auto"/>
            <w:vAlign w:val="center"/>
            <w:hideMark/>
          </w:tcPr>
          <w:p w:rsidR="00697969" w:rsidRPr="00697969" w:rsidRDefault="00A6739F" w:rsidP="00697969">
            <w:pPr>
              <w:spacing w:after="0" w:line="240" w:lineRule="auto"/>
              <w:jc w:val="right"/>
              <w:rPr>
                <w:rFonts w:eastAsia="Times New Roman" w:cstheme="minorHAnsi"/>
                <w:color w:val="000000"/>
                <w:sz w:val="16"/>
                <w:szCs w:val="16"/>
              </w:rPr>
            </w:pPr>
            <w:r>
              <w:rPr>
                <w:rFonts w:eastAsia="Times New Roman" w:cstheme="minorHAnsi"/>
                <w:color w:val="000000"/>
                <w:sz w:val="16"/>
                <w:szCs w:val="16"/>
              </w:rPr>
              <w:t>-</w:t>
            </w:r>
          </w:p>
        </w:tc>
        <w:tc>
          <w:tcPr>
            <w:tcW w:w="1151" w:type="dxa"/>
            <w:shd w:val="clear" w:color="auto" w:fill="auto"/>
            <w:vAlign w:val="center"/>
            <w:hideMark/>
          </w:tcPr>
          <w:p w:rsidR="00697969" w:rsidRPr="00697969" w:rsidRDefault="00A6739F" w:rsidP="00697969">
            <w:pPr>
              <w:spacing w:after="0" w:line="240" w:lineRule="auto"/>
              <w:jc w:val="right"/>
              <w:rPr>
                <w:rFonts w:eastAsia="Times New Roman" w:cstheme="minorHAnsi"/>
                <w:color w:val="000000"/>
                <w:sz w:val="16"/>
                <w:szCs w:val="16"/>
              </w:rPr>
            </w:pPr>
            <w:r>
              <w:rPr>
                <w:rFonts w:eastAsia="Times New Roman" w:cstheme="minorHAnsi"/>
                <w:color w:val="000000"/>
                <w:sz w:val="16"/>
                <w:szCs w:val="16"/>
              </w:rPr>
              <w:t>-</w:t>
            </w:r>
          </w:p>
        </w:tc>
        <w:tc>
          <w:tcPr>
            <w:tcW w:w="1268" w:type="dxa"/>
            <w:shd w:val="clear" w:color="auto" w:fill="auto"/>
            <w:vAlign w:val="center"/>
            <w:hideMark/>
          </w:tcPr>
          <w:p w:rsidR="00697969" w:rsidRPr="00697969" w:rsidRDefault="00A6739F" w:rsidP="00697969">
            <w:pPr>
              <w:spacing w:after="0" w:line="240" w:lineRule="auto"/>
              <w:jc w:val="right"/>
              <w:rPr>
                <w:rFonts w:eastAsia="Times New Roman" w:cstheme="minorHAnsi"/>
                <w:color w:val="000000"/>
                <w:sz w:val="16"/>
                <w:szCs w:val="16"/>
              </w:rPr>
            </w:pPr>
            <w:r>
              <w:rPr>
                <w:rFonts w:eastAsia="Times New Roman" w:cstheme="minorHAnsi"/>
                <w:color w:val="000000"/>
                <w:sz w:val="16"/>
                <w:szCs w:val="16"/>
              </w:rPr>
              <w:t>-</w:t>
            </w:r>
          </w:p>
        </w:tc>
        <w:tc>
          <w:tcPr>
            <w:tcW w:w="1151" w:type="dxa"/>
            <w:shd w:val="clear" w:color="auto" w:fill="auto"/>
            <w:vAlign w:val="center"/>
            <w:hideMark/>
          </w:tcPr>
          <w:p w:rsidR="00697969" w:rsidRPr="00697969" w:rsidRDefault="00A6739F" w:rsidP="00697969">
            <w:pPr>
              <w:spacing w:after="0" w:line="240" w:lineRule="auto"/>
              <w:jc w:val="right"/>
              <w:rPr>
                <w:rFonts w:eastAsia="Times New Roman" w:cstheme="minorHAnsi"/>
                <w:color w:val="000000"/>
                <w:sz w:val="16"/>
                <w:szCs w:val="16"/>
              </w:rPr>
            </w:pPr>
            <w:r>
              <w:rPr>
                <w:rFonts w:eastAsia="Times New Roman" w:cstheme="minorHAnsi"/>
                <w:color w:val="000000"/>
                <w:sz w:val="16"/>
                <w:szCs w:val="16"/>
              </w:rPr>
              <w:t>-</w:t>
            </w:r>
          </w:p>
        </w:tc>
        <w:tc>
          <w:tcPr>
            <w:tcW w:w="1151" w:type="dxa"/>
            <w:shd w:val="clear" w:color="auto" w:fill="auto"/>
            <w:vAlign w:val="center"/>
            <w:hideMark/>
          </w:tcPr>
          <w:p w:rsidR="00697969" w:rsidRPr="00697969" w:rsidRDefault="00A6739F" w:rsidP="00697969">
            <w:pPr>
              <w:spacing w:after="0" w:line="240" w:lineRule="auto"/>
              <w:jc w:val="right"/>
              <w:rPr>
                <w:rFonts w:eastAsia="Times New Roman" w:cstheme="minorHAnsi"/>
                <w:color w:val="000000"/>
                <w:sz w:val="16"/>
                <w:szCs w:val="16"/>
              </w:rPr>
            </w:pPr>
            <w:r>
              <w:rPr>
                <w:rFonts w:eastAsia="Times New Roman" w:cstheme="minorHAnsi"/>
                <w:color w:val="000000"/>
                <w:sz w:val="16"/>
                <w:szCs w:val="16"/>
              </w:rPr>
              <w:t>-</w:t>
            </w:r>
          </w:p>
        </w:tc>
        <w:tc>
          <w:tcPr>
            <w:tcW w:w="1270" w:type="dxa"/>
            <w:shd w:val="clear" w:color="auto" w:fill="auto"/>
            <w:vAlign w:val="center"/>
            <w:hideMark/>
          </w:tcPr>
          <w:p w:rsidR="00697969" w:rsidRPr="00697969" w:rsidRDefault="00A6739F" w:rsidP="00697969">
            <w:pPr>
              <w:spacing w:after="0" w:line="240" w:lineRule="auto"/>
              <w:jc w:val="right"/>
              <w:rPr>
                <w:rFonts w:eastAsia="Times New Roman" w:cstheme="minorHAnsi"/>
                <w:color w:val="000000"/>
                <w:sz w:val="16"/>
                <w:szCs w:val="16"/>
              </w:rPr>
            </w:pPr>
            <w:r>
              <w:rPr>
                <w:rFonts w:eastAsia="Times New Roman" w:cstheme="minorHAnsi"/>
                <w:color w:val="000000"/>
                <w:sz w:val="16"/>
                <w:szCs w:val="16"/>
              </w:rPr>
              <w:t>-</w:t>
            </w:r>
          </w:p>
        </w:tc>
      </w:tr>
      <w:tr w:rsidR="00697969" w:rsidRPr="00697969" w:rsidTr="00697969">
        <w:trPr>
          <w:trHeight w:val="397"/>
        </w:trPr>
        <w:tc>
          <w:tcPr>
            <w:tcW w:w="2097" w:type="dxa"/>
            <w:shd w:val="clear" w:color="auto" w:fill="auto"/>
            <w:vAlign w:val="center"/>
            <w:hideMark/>
          </w:tcPr>
          <w:p w:rsidR="00697969" w:rsidRPr="00697969" w:rsidRDefault="00697969" w:rsidP="00697969">
            <w:pPr>
              <w:spacing w:after="0" w:line="240" w:lineRule="auto"/>
              <w:rPr>
                <w:rFonts w:eastAsia="Times New Roman" w:cstheme="minorHAnsi"/>
                <w:b/>
                <w:bCs/>
                <w:color w:val="000000"/>
                <w:sz w:val="16"/>
                <w:szCs w:val="16"/>
              </w:rPr>
            </w:pPr>
            <w:r w:rsidRPr="00697969">
              <w:rPr>
                <w:rFonts w:eastAsia="Times New Roman" w:cstheme="minorHAnsi"/>
                <w:b/>
                <w:bCs/>
                <w:color w:val="000000"/>
                <w:sz w:val="16"/>
                <w:szCs w:val="16"/>
              </w:rPr>
              <w:t>Revenue (Total)</w:t>
            </w:r>
          </w:p>
        </w:tc>
        <w:tc>
          <w:tcPr>
            <w:tcW w:w="1413" w:type="dxa"/>
            <w:shd w:val="clear" w:color="auto" w:fill="auto"/>
            <w:vAlign w:val="center"/>
            <w:hideMark/>
          </w:tcPr>
          <w:p w:rsidR="00697969" w:rsidRPr="00697969" w:rsidRDefault="00697969" w:rsidP="00697969">
            <w:pPr>
              <w:spacing w:after="0" w:line="240" w:lineRule="auto"/>
              <w:jc w:val="right"/>
              <w:rPr>
                <w:rFonts w:eastAsia="Times New Roman" w:cstheme="minorHAnsi"/>
                <w:b/>
                <w:bCs/>
                <w:color w:val="000000"/>
                <w:sz w:val="16"/>
                <w:szCs w:val="16"/>
              </w:rPr>
            </w:pPr>
            <w:r w:rsidRPr="00697969">
              <w:rPr>
                <w:rFonts w:eastAsia="Times New Roman" w:cstheme="minorHAnsi"/>
                <w:b/>
                <w:bCs/>
                <w:color w:val="000000"/>
                <w:sz w:val="16"/>
                <w:szCs w:val="16"/>
              </w:rPr>
              <w:t>8,380,103,193</w:t>
            </w:r>
          </w:p>
        </w:tc>
        <w:tc>
          <w:tcPr>
            <w:tcW w:w="1413" w:type="dxa"/>
            <w:shd w:val="clear" w:color="auto" w:fill="auto"/>
            <w:vAlign w:val="center"/>
            <w:hideMark/>
          </w:tcPr>
          <w:p w:rsidR="00697969" w:rsidRPr="00697969" w:rsidRDefault="00697969" w:rsidP="00697969">
            <w:pPr>
              <w:spacing w:after="0" w:line="240" w:lineRule="auto"/>
              <w:jc w:val="right"/>
              <w:rPr>
                <w:rFonts w:eastAsia="Times New Roman" w:cstheme="minorHAnsi"/>
                <w:b/>
                <w:bCs/>
                <w:color w:val="000000"/>
                <w:sz w:val="16"/>
                <w:szCs w:val="16"/>
              </w:rPr>
            </w:pPr>
            <w:r w:rsidRPr="00697969">
              <w:rPr>
                <w:rFonts w:eastAsia="Times New Roman" w:cstheme="minorHAnsi"/>
                <w:b/>
                <w:bCs/>
                <w:color w:val="000000"/>
                <w:sz w:val="16"/>
                <w:szCs w:val="16"/>
              </w:rPr>
              <w:t>9,331,541,484</w:t>
            </w:r>
          </w:p>
        </w:tc>
        <w:tc>
          <w:tcPr>
            <w:tcW w:w="1272" w:type="dxa"/>
            <w:shd w:val="clear" w:color="auto" w:fill="auto"/>
            <w:vAlign w:val="center"/>
            <w:hideMark/>
          </w:tcPr>
          <w:p w:rsidR="00697969" w:rsidRPr="00697969" w:rsidRDefault="00697969" w:rsidP="00697969">
            <w:pPr>
              <w:spacing w:after="0" w:line="240" w:lineRule="auto"/>
              <w:jc w:val="right"/>
              <w:rPr>
                <w:rFonts w:eastAsia="Times New Roman" w:cstheme="minorHAnsi"/>
                <w:b/>
                <w:bCs/>
                <w:color w:val="000000"/>
                <w:sz w:val="16"/>
                <w:szCs w:val="16"/>
              </w:rPr>
            </w:pPr>
            <w:r w:rsidRPr="00697969">
              <w:rPr>
                <w:rFonts w:eastAsia="Times New Roman" w:cstheme="minorHAnsi"/>
                <w:b/>
                <w:bCs/>
                <w:color w:val="000000"/>
                <w:sz w:val="16"/>
                <w:szCs w:val="16"/>
              </w:rPr>
              <w:t>7,514,180,313</w:t>
            </w:r>
          </w:p>
        </w:tc>
        <w:tc>
          <w:tcPr>
            <w:tcW w:w="1273" w:type="dxa"/>
            <w:shd w:val="clear" w:color="auto" w:fill="auto"/>
            <w:vAlign w:val="center"/>
            <w:hideMark/>
          </w:tcPr>
          <w:p w:rsidR="00697969" w:rsidRPr="00697969" w:rsidRDefault="00697969" w:rsidP="00697969">
            <w:pPr>
              <w:spacing w:after="0" w:line="240" w:lineRule="auto"/>
              <w:jc w:val="right"/>
              <w:rPr>
                <w:rFonts w:eastAsia="Times New Roman" w:cstheme="minorHAnsi"/>
                <w:b/>
                <w:bCs/>
                <w:color w:val="000000"/>
                <w:sz w:val="16"/>
                <w:szCs w:val="16"/>
              </w:rPr>
            </w:pPr>
            <w:r w:rsidRPr="00697969">
              <w:rPr>
                <w:rFonts w:eastAsia="Times New Roman" w:cstheme="minorHAnsi"/>
                <w:b/>
                <w:bCs/>
                <w:color w:val="000000"/>
                <w:sz w:val="16"/>
                <w:szCs w:val="16"/>
              </w:rPr>
              <w:t>9,053,726,337</w:t>
            </w:r>
          </w:p>
        </w:tc>
        <w:tc>
          <w:tcPr>
            <w:tcW w:w="1273" w:type="dxa"/>
            <w:shd w:val="clear" w:color="auto" w:fill="auto"/>
            <w:vAlign w:val="center"/>
            <w:hideMark/>
          </w:tcPr>
          <w:p w:rsidR="00697969" w:rsidRPr="00697969" w:rsidRDefault="00697969" w:rsidP="00697969">
            <w:pPr>
              <w:spacing w:after="0" w:line="240" w:lineRule="auto"/>
              <w:jc w:val="right"/>
              <w:rPr>
                <w:rFonts w:eastAsia="Times New Roman" w:cstheme="minorHAnsi"/>
                <w:b/>
                <w:bCs/>
                <w:color w:val="000000"/>
                <w:sz w:val="16"/>
                <w:szCs w:val="16"/>
              </w:rPr>
            </w:pPr>
            <w:r w:rsidRPr="00697969">
              <w:rPr>
                <w:rFonts w:eastAsia="Times New Roman" w:cstheme="minorHAnsi"/>
                <w:b/>
                <w:bCs/>
                <w:color w:val="000000"/>
                <w:sz w:val="16"/>
                <w:szCs w:val="16"/>
              </w:rPr>
              <w:t>8,401,314,489</w:t>
            </w:r>
          </w:p>
        </w:tc>
        <w:tc>
          <w:tcPr>
            <w:tcW w:w="1151" w:type="dxa"/>
            <w:shd w:val="clear" w:color="auto" w:fill="auto"/>
            <w:vAlign w:val="center"/>
            <w:hideMark/>
          </w:tcPr>
          <w:p w:rsidR="00697969" w:rsidRPr="00697969" w:rsidRDefault="00697969" w:rsidP="00697969">
            <w:pPr>
              <w:spacing w:after="0" w:line="240" w:lineRule="auto"/>
              <w:jc w:val="right"/>
              <w:rPr>
                <w:rFonts w:eastAsia="Times New Roman" w:cstheme="minorHAnsi"/>
                <w:b/>
                <w:bCs/>
                <w:color w:val="000000"/>
                <w:sz w:val="16"/>
                <w:szCs w:val="16"/>
              </w:rPr>
            </w:pPr>
            <w:r w:rsidRPr="00697969">
              <w:rPr>
                <w:rFonts w:eastAsia="Times New Roman" w:cstheme="minorHAnsi"/>
                <w:b/>
                <w:bCs/>
                <w:color w:val="000000"/>
                <w:sz w:val="16"/>
                <w:szCs w:val="16"/>
              </w:rPr>
              <w:t>8,973,014,359</w:t>
            </w:r>
          </w:p>
        </w:tc>
        <w:tc>
          <w:tcPr>
            <w:tcW w:w="1268" w:type="dxa"/>
            <w:shd w:val="clear" w:color="auto" w:fill="auto"/>
            <w:vAlign w:val="center"/>
            <w:hideMark/>
          </w:tcPr>
          <w:p w:rsidR="00697969" w:rsidRPr="00697969" w:rsidRDefault="00697969" w:rsidP="00697969">
            <w:pPr>
              <w:spacing w:after="0" w:line="240" w:lineRule="auto"/>
              <w:jc w:val="right"/>
              <w:rPr>
                <w:rFonts w:eastAsia="Times New Roman" w:cstheme="minorHAnsi"/>
                <w:b/>
                <w:bCs/>
                <w:color w:val="000000"/>
                <w:sz w:val="16"/>
                <w:szCs w:val="16"/>
              </w:rPr>
            </w:pPr>
            <w:r w:rsidRPr="00697969">
              <w:rPr>
                <w:rFonts w:eastAsia="Times New Roman" w:cstheme="minorHAnsi"/>
                <w:b/>
                <w:bCs/>
                <w:color w:val="000000"/>
                <w:sz w:val="16"/>
                <w:szCs w:val="16"/>
              </w:rPr>
              <w:t>8,914,288,837</w:t>
            </w:r>
          </w:p>
        </w:tc>
        <w:tc>
          <w:tcPr>
            <w:tcW w:w="1151" w:type="dxa"/>
            <w:shd w:val="clear" w:color="auto" w:fill="auto"/>
            <w:vAlign w:val="center"/>
            <w:hideMark/>
          </w:tcPr>
          <w:p w:rsidR="00697969" w:rsidRPr="00697969" w:rsidRDefault="00697969" w:rsidP="00697969">
            <w:pPr>
              <w:spacing w:after="0" w:line="240" w:lineRule="auto"/>
              <w:jc w:val="right"/>
              <w:rPr>
                <w:rFonts w:eastAsia="Times New Roman" w:cstheme="minorHAnsi"/>
                <w:b/>
                <w:bCs/>
                <w:color w:val="000000"/>
                <w:sz w:val="16"/>
                <w:szCs w:val="16"/>
              </w:rPr>
            </w:pPr>
            <w:r w:rsidRPr="00697969">
              <w:rPr>
                <w:rFonts w:eastAsia="Times New Roman" w:cstheme="minorHAnsi"/>
                <w:b/>
                <w:bCs/>
                <w:color w:val="000000"/>
                <w:sz w:val="16"/>
                <w:szCs w:val="16"/>
              </w:rPr>
              <w:t>9,504,309,320</w:t>
            </w:r>
          </w:p>
        </w:tc>
        <w:tc>
          <w:tcPr>
            <w:tcW w:w="1151" w:type="dxa"/>
            <w:shd w:val="clear" w:color="auto" w:fill="auto"/>
            <w:vAlign w:val="center"/>
            <w:hideMark/>
          </w:tcPr>
          <w:p w:rsidR="00697969" w:rsidRPr="00697969" w:rsidRDefault="00697969" w:rsidP="00697969">
            <w:pPr>
              <w:spacing w:after="0" w:line="240" w:lineRule="auto"/>
              <w:jc w:val="right"/>
              <w:rPr>
                <w:rFonts w:eastAsia="Times New Roman" w:cstheme="minorHAnsi"/>
                <w:b/>
                <w:bCs/>
                <w:color w:val="000000"/>
                <w:sz w:val="16"/>
                <w:szCs w:val="16"/>
              </w:rPr>
            </w:pPr>
            <w:r w:rsidRPr="00697969">
              <w:rPr>
                <w:rFonts w:eastAsia="Times New Roman" w:cstheme="minorHAnsi"/>
                <w:b/>
                <w:bCs/>
                <w:color w:val="000000"/>
                <w:sz w:val="16"/>
                <w:szCs w:val="16"/>
              </w:rPr>
              <w:t>9,185,287,502</w:t>
            </w:r>
          </w:p>
        </w:tc>
        <w:tc>
          <w:tcPr>
            <w:tcW w:w="1270" w:type="dxa"/>
            <w:shd w:val="clear" w:color="auto" w:fill="auto"/>
            <w:vAlign w:val="center"/>
            <w:hideMark/>
          </w:tcPr>
          <w:p w:rsidR="00697969" w:rsidRPr="00697969" w:rsidRDefault="00697969" w:rsidP="00697969">
            <w:pPr>
              <w:spacing w:after="0" w:line="240" w:lineRule="auto"/>
              <w:jc w:val="right"/>
              <w:rPr>
                <w:rFonts w:eastAsia="Times New Roman" w:cstheme="minorHAnsi"/>
                <w:b/>
                <w:bCs/>
                <w:color w:val="000000"/>
                <w:sz w:val="16"/>
                <w:szCs w:val="16"/>
              </w:rPr>
            </w:pPr>
            <w:r w:rsidRPr="00697969">
              <w:rPr>
                <w:rFonts w:eastAsia="Times New Roman" w:cstheme="minorHAnsi"/>
                <w:b/>
                <w:bCs/>
                <w:color w:val="000000"/>
                <w:sz w:val="16"/>
                <w:szCs w:val="16"/>
              </w:rPr>
              <w:t>10,067,237,843</w:t>
            </w:r>
          </w:p>
        </w:tc>
      </w:tr>
      <w:tr w:rsidR="00697969" w:rsidRPr="00697969" w:rsidTr="00697969">
        <w:trPr>
          <w:trHeight w:val="397"/>
        </w:trPr>
        <w:tc>
          <w:tcPr>
            <w:tcW w:w="2097" w:type="dxa"/>
            <w:shd w:val="clear" w:color="auto" w:fill="auto"/>
            <w:vAlign w:val="center"/>
            <w:hideMark/>
          </w:tcPr>
          <w:p w:rsidR="00697969" w:rsidRPr="00697969" w:rsidRDefault="00697969" w:rsidP="00697969">
            <w:pPr>
              <w:spacing w:after="0" w:line="240" w:lineRule="auto"/>
              <w:rPr>
                <w:rFonts w:eastAsia="Times New Roman" w:cstheme="minorHAnsi"/>
                <w:color w:val="000000"/>
                <w:sz w:val="16"/>
                <w:szCs w:val="16"/>
              </w:rPr>
            </w:pPr>
            <w:r w:rsidRPr="00697969">
              <w:rPr>
                <w:rFonts w:eastAsia="Times New Roman" w:cstheme="minorHAnsi"/>
                <w:color w:val="000000"/>
                <w:sz w:val="16"/>
                <w:szCs w:val="16"/>
              </w:rPr>
              <w:t>Equitable Share Allocation</w:t>
            </w:r>
          </w:p>
        </w:tc>
        <w:tc>
          <w:tcPr>
            <w:tcW w:w="1413"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6,779,873,100</w:t>
            </w:r>
          </w:p>
        </w:tc>
        <w:tc>
          <w:tcPr>
            <w:tcW w:w="1413"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7,277,004,032</w:t>
            </w:r>
          </w:p>
        </w:tc>
        <w:tc>
          <w:tcPr>
            <w:tcW w:w="1272"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6,694,843,713</w:t>
            </w:r>
          </w:p>
        </w:tc>
        <w:tc>
          <w:tcPr>
            <w:tcW w:w="1273"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7,277,004,032</w:t>
            </w:r>
          </w:p>
        </w:tc>
        <w:tc>
          <w:tcPr>
            <w:tcW w:w="1273"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7,495,314,462</w:t>
            </w:r>
          </w:p>
        </w:tc>
        <w:tc>
          <w:tcPr>
            <w:tcW w:w="1151"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7,713,624,274</w:t>
            </w:r>
          </w:p>
        </w:tc>
        <w:tc>
          <w:tcPr>
            <w:tcW w:w="1268"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7,720,173,896</w:t>
            </w:r>
          </w:p>
        </w:tc>
        <w:tc>
          <w:tcPr>
            <w:tcW w:w="1151"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8,176,441,730</w:t>
            </w:r>
          </w:p>
        </w:tc>
        <w:tc>
          <w:tcPr>
            <w:tcW w:w="1151"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7,951,779,113</w:t>
            </w:r>
          </w:p>
        </w:tc>
        <w:tc>
          <w:tcPr>
            <w:tcW w:w="1270"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8,667,028,234</w:t>
            </w:r>
          </w:p>
        </w:tc>
      </w:tr>
      <w:tr w:rsidR="00697969" w:rsidRPr="00697969" w:rsidTr="00697969">
        <w:trPr>
          <w:trHeight w:val="397"/>
        </w:trPr>
        <w:tc>
          <w:tcPr>
            <w:tcW w:w="2097" w:type="dxa"/>
            <w:shd w:val="clear" w:color="auto" w:fill="auto"/>
            <w:vAlign w:val="center"/>
            <w:hideMark/>
          </w:tcPr>
          <w:p w:rsidR="00697969" w:rsidRPr="00697969" w:rsidRDefault="00697969" w:rsidP="00697969">
            <w:pPr>
              <w:spacing w:after="0" w:line="240" w:lineRule="auto"/>
              <w:rPr>
                <w:rFonts w:eastAsia="Times New Roman" w:cstheme="minorHAnsi"/>
                <w:color w:val="000000"/>
                <w:sz w:val="16"/>
                <w:szCs w:val="16"/>
              </w:rPr>
            </w:pPr>
            <w:r w:rsidRPr="00697969">
              <w:rPr>
                <w:rFonts w:eastAsia="Times New Roman" w:cstheme="minorHAnsi"/>
                <w:color w:val="000000"/>
                <w:sz w:val="16"/>
                <w:szCs w:val="16"/>
              </w:rPr>
              <w:t>Local Revenue</w:t>
            </w:r>
          </w:p>
        </w:tc>
        <w:tc>
          <w:tcPr>
            <w:tcW w:w="1413"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110,368,253</w:t>
            </w:r>
          </w:p>
        </w:tc>
        <w:tc>
          <w:tcPr>
            <w:tcW w:w="1413"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170,000,000</w:t>
            </w:r>
          </w:p>
        </w:tc>
        <w:tc>
          <w:tcPr>
            <w:tcW w:w="1272"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99,563,452</w:t>
            </w:r>
          </w:p>
        </w:tc>
        <w:tc>
          <w:tcPr>
            <w:tcW w:w="1273"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170,000,000</w:t>
            </w:r>
          </w:p>
        </w:tc>
        <w:tc>
          <w:tcPr>
            <w:tcW w:w="1273"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170,000,000</w:t>
            </w:r>
          </w:p>
        </w:tc>
        <w:tc>
          <w:tcPr>
            <w:tcW w:w="1151"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183,600,000</w:t>
            </w:r>
          </w:p>
        </w:tc>
        <w:tc>
          <w:tcPr>
            <w:tcW w:w="1268"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178,500,000</w:t>
            </w:r>
          </w:p>
        </w:tc>
        <w:tc>
          <w:tcPr>
            <w:tcW w:w="1151"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198,288,000</w:t>
            </w:r>
          </w:p>
        </w:tc>
        <w:tc>
          <w:tcPr>
            <w:tcW w:w="1151"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187,425,000</w:t>
            </w:r>
          </w:p>
        </w:tc>
        <w:tc>
          <w:tcPr>
            <w:tcW w:w="1270"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214,151,040</w:t>
            </w:r>
          </w:p>
        </w:tc>
      </w:tr>
      <w:tr w:rsidR="00697969" w:rsidRPr="00697969" w:rsidTr="00697969">
        <w:trPr>
          <w:trHeight w:val="397"/>
        </w:trPr>
        <w:tc>
          <w:tcPr>
            <w:tcW w:w="2097" w:type="dxa"/>
            <w:shd w:val="clear" w:color="auto" w:fill="auto"/>
            <w:vAlign w:val="center"/>
            <w:hideMark/>
          </w:tcPr>
          <w:p w:rsidR="00697969" w:rsidRPr="00697969" w:rsidRDefault="00697969" w:rsidP="00697969">
            <w:pPr>
              <w:spacing w:after="0" w:line="240" w:lineRule="auto"/>
              <w:rPr>
                <w:rFonts w:eastAsia="Times New Roman" w:cstheme="minorHAnsi"/>
                <w:color w:val="000000"/>
                <w:sz w:val="16"/>
                <w:szCs w:val="16"/>
              </w:rPr>
            </w:pPr>
            <w:r w:rsidRPr="00697969">
              <w:rPr>
                <w:rFonts w:eastAsia="Times New Roman" w:cstheme="minorHAnsi"/>
                <w:color w:val="000000"/>
                <w:sz w:val="16"/>
                <w:szCs w:val="16"/>
              </w:rPr>
              <w:t>Grant income</w:t>
            </w:r>
          </w:p>
        </w:tc>
        <w:tc>
          <w:tcPr>
            <w:tcW w:w="1413"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911,047,791</w:t>
            </w:r>
          </w:p>
        </w:tc>
        <w:tc>
          <w:tcPr>
            <w:tcW w:w="1413"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1,308,160,502</w:t>
            </w:r>
          </w:p>
        </w:tc>
        <w:tc>
          <w:tcPr>
            <w:tcW w:w="1272"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143,396,198</w:t>
            </w:r>
          </w:p>
        </w:tc>
        <w:tc>
          <w:tcPr>
            <w:tcW w:w="1273"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1,024,561,986</w:t>
            </w:r>
          </w:p>
        </w:tc>
        <w:tc>
          <w:tcPr>
            <w:tcW w:w="1273"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147,698,084</w:t>
            </w:r>
          </w:p>
        </w:tc>
        <w:tc>
          <w:tcPr>
            <w:tcW w:w="1151"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1,075,790,085</w:t>
            </w:r>
          </w:p>
        </w:tc>
        <w:tc>
          <w:tcPr>
            <w:tcW w:w="1268"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1,015,614,941</w:t>
            </w:r>
          </w:p>
        </w:tc>
        <w:tc>
          <w:tcPr>
            <w:tcW w:w="1151"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1,129,579,590</w:t>
            </w:r>
          </w:p>
        </w:tc>
        <w:tc>
          <w:tcPr>
            <w:tcW w:w="1151"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1,046,083,390</w:t>
            </w:r>
          </w:p>
        </w:tc>
        <w:tc>
          <w:tcPr>
            <w:tcW w:w="1270"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1,186,058,569</w:t>
            </w:r>
          </w:p>
        </w:tc>
      </w:tr>
      <w:tr w:rsidR="00697969" w:rsidRPr="00697969" w:rsidTr="00697969">
        <w:trPr>
          <w:trHeight w:val="397"/>
        </w:trPr>
        <w:tc>
          <w:tcPr>
            <w:tcW w:w="2097" w:type="dxa"/>
            <w:shd w:val="clear" w:color="auto" w:fill="auto"/>
            <w:vAlign w:val="center"/>
            <w:hideMark/>
          </w:tcPr>
          <w:p w:rsidR="00697969" w:rsidRPr="00697969" w:rsidRDefault="00697969" w:rsidP="00697969">
            <w:pPr>
              <w:spacing w:after="0" w:line="240" w:lineRule="auto"/>
              <w:rPr>
                <w:rFonts w:eastAsia="Times New Roman" w:cstheme="minorHAnsi"/>
                <w:b/>
                <w:bCs/>
                <w:color w:val="000000"/>
                <w:sz w:val="16"/>
                <w:szCs w:val="16"/>
              </w:rPr>
            </w:pPr>
            <w:r w:rsidRPr="00697969">
              <w:rPr>
                <w:rFonts w:eastAsia="Times New Roman" w:cstheme="minorHAnsi"/>
                <w:b/>
                <w:bCs/>
                <w:color w:val="000000"/>
                <w:sz w:val="16"/>
                <w:szCs w:val="16"/>
              </w:rPr>
              <w:t>Grant (Total)</w:t>
            </w:r>
          </w:p>
        </w:tc>
        <w:tc>
          <w:tcPr>
            <w:tcW w:w="1413" w:type="dxa"/>
            <w:shd w:val="clear" w:color="auto" w:fill="auto"/>
            <w:vAlign w:val="center"/>
            <w:hideMark/>
          </w:tcPr>
          <w:p w:rsidR="00697969" w:rsidRPr="00697969" w:rsidRDefault="00697969" w:rsidP="00697969">
            <w:pPr>
              <w:spacing w:after="0" w:line="240" w:lineRule="auto"/>
              <w:jc w:val="right"/>
              <w:rPr>
                <w:rFonts w:eastAsia="Times New Roman" w:cstheme="minorHAnsi"/>
                <w:b/>
                <w:bCs/>
                <w:color w:val="000000"/>
                <w:sz w:val="16"/>
                <w:szCs w:val="16"/>
              </w:rPr>
            </w:pPr>
            <w:r w:rsidRPr="00697969">
              <w:rPr>
                <w:rFonts w:eastAsia="Times New Roman" w:cstheme="minorHAnsi"/>
                <w:b/>
                <w:bCs/>
                <w:color w:val="000000"/>
                <w:sz w:val="16"/>
                <w:szCs w:val="16"/>
              </w:rPr>
              <w:t>7,801,289,144</w:t>
            </w:r>
          </w:p>
        </w:tc>
        <w:tc>
          <w:tcPr>
            <w:tcW w:w="1413" w:type="dxa"/>
            <w:shd w:val="clear" w:color="auto" w:fill="auto"/>
            <w:vAlign w:val="center"/>
            <w:hideMark/>
          </w:tcPr>
          <w:p w:rsidR="00697969" w:rsidRPr="00697969" w:rsidRDefault="00697969" w:rsidP="00697969">
            <w:pPr>
              <w:spacing w:after="0" w:line="240" w:lineRule="auto"/>
              <w:jc w:val="right"/>
              <w:rPr>
                <w:rFonts w:eastAsia="Times New Roman" w:cstheme="minorHAnsi"/>
                <w:b/>
                <w:bCs/>
                <w:color w:val="000000"/>
                <w:sz w:val="16"/>
                <w:szCs w:val="16"/>
              </w:rPr>
            </w:pPr>
            <w:r w:rsidRPr="00697969">
              <w:rPr>
                <w:rFonts w:eastAsia="Times New Roman" w:cstheme="minorHAnsi"/>
                <w:b/>
                <w:bCs/>
                <w:color w:val="000000"/>
                <w:sz w:val="16"/>
                <w:szCs w:val="16"/>
              </w:rPr>
              <w:t>8,755,164,534</w:t>
            </w:r>
          </w:p>
        </w:tc>
        <w:tc>
          <w:tcPr>
            <w:tcW w:w="1272" w:type="dxa"/>
            <w:shd w:val="clear" w:color="auto" w:fill="auto"/>
            <w:vAlign w:val="center"/>
            <w:hideMark/>
          </w:tcPr>
          <w:p w:rsidR="00697969" w:rsidRPr="00697969" w:rsidRDefault="00697969" w:rsidP="00697969">
            <w:pPr>
              <w:spacing w:after="0" w:line="240" w:lineRule="auto"/>
              <w:jc w:val="right"/>
              <w:rPr>
                <w:rFonts w:eastAsia="Times New Roman" w:cstheme="minorHAnsi"/>
                <w:b/>
                <w:bCs/>
                <w:color w:val="000000"/>
                <w:sz w:val="16"/>
                <w:szCs w:val="16"/>
              </w:rPr>
            </w:pPr>
            <w:r w:rsidRPr="00697969">
              <w:rPr>
                <w:rFonts w:eastAsia="Times New Roman" w:cstheme="minorHAnsi"/>
                <w:b/>
                <w:bCs/>
                <w:color w:val="000000"/>
                <w:sz w:val="16"/>
                <w:szCs w:val="16"/>
              </w:rPr>
              <w:t>6,937,803,363</w:t>
            </w:r>
          </w:p>
        </w:tc>
        <w:tc>
          <w:tcPr>
            <w:tcW w:w="1273" w:type="dxa"/>
            <w:shd w:val="clear" w:color="auto" w:fill="auto"/>
            <w:vAlign w:val="center"/>
            <w:hideMark/>
          </w:tcPr>
          <w:p w:rsidR="00697969" w:rsidRPr="00697969" w:rsidRDefault="00697969" w:rsidP="00697969">
            <w:pPr>
              <w:spacing w:after="0" w:line="240" w:lineRule="auto"/>
              <w:jc w:val="right"/>
              <w:rPr>
                <w:rFonts w:eastAsia="Times New Roman" w:cstheme="minorHAnsi"/>
                <w:b/>
                <w:bCs/>
                <w:color w:val="000000"/>
                <w:sz w:val="16"/>
                <w:szCs w:val="16"/>
              </w:rPr>
            </w:pPr>
            <w:r w:rsidRPr="00697969">
              <w:rPr>
                <w:rFonts w:eastAsia="Times New Roman" w:cstheme="minorHAnsi"/>
                <w:b/>
                <w:bCs/>
                <w:color w:val="000000"/>
                <w:sz w:val="16"/>
                <w:szCs w:val="16"/>
              </w:rPr>
              <w:t>8,471,566,018</w:t>
            </w:r>
          </w:p>
        </w:tc>
        <w:tc>
          <w:tcPr>
            <w:tcW w:w="1273" w:type="dxa"/>
            <w:shd w:val="clear" w:color="auto" w:fill="auto"/>
            <w:vAlign w:val="center"/>
            <w:hideMark/>
          </w:tcPr>
          <w:p w:rsidR="00697969" w:rsidRPr="00697969" w:rsidRDefault="00697969" w:rsidP="00697969">
            <w:pPr>
              <w:spacing w:after="0" w:line="240" w:lineRule="auto"/>
              <w:jc w:val="right"/>
              <w:rPr>
                <w:rFonts w:eastAsia="Times New Roman" w:cstheme="minorHAnsi"/>
                <w:b/>
                <w:bCs/>
                <w:color w:val="000000"/>
                <w:sz w:val="16"/>
                <w:szCs w:val="16"/>
              </w:rPr>
            </w:pPr>
            <w:r w:rsidRPr="00697969">
              <w:rPr>
                <w:rFonts w:eastAsia="Times New Roman" w:cstheme="minorHAnsi"/>
                <w:b/>
                <w:bCs/>
                <w:color w:val="000000"/>
                <w:sz w:val="16"/>
                <w:szCs w:val="16"/>
              </w:rPr>
              <w:t>7,813,012,546</w:t>
            </w:r>
          </w:p>
        </w:tc>
        <w:tc>
          <w:tcPr>
            <w:tcW w:w="1151" w:type="dxa"/>
            <w:shd w:val="clear" w:color="auto" w:fill="auto"/>
            <w:vAlign w:val="center"/>
            <w:hideMark/>
          </w:tcPr>
          <w:p w:rsidR="00697969" w:rsidRPr="00697969" w:rsidRDefault="00697969" w:rsidP="00697969">
            <w:pPr>
              <w:spacing w:after="0" w:line="240" w:lineRule="auto"/>
              <w:jc w:val="right"/>
              <w:rPr>
                <w:rFonts w:eastAsia="Times New Roman" w:cstheme="minorHAnsi"/>
                <w:b/>
                <w:bCs/>
                <w:color w:val="000000"/>
                <w:sz w:val="16"/>
                <w:szCs w:val="16"/>
              </w:rPr>
            </w:pPr>
            <w:r w:rsidRPr="00697969">
              <w:rPr>
                <w:rFonts w:eastAsia="Times New Roman" w:cstheme="minorHAnsi"/>
                <w:b/>
                <w:bCs/>
                <w:color w:val="000000"/>
                <w:sz w:val="16"/>
                <w:szCs w:val="16"/>
              </w:rPr>
              <w:t>8,973,014,359</w:t>
            </w:r>
          </w:p>
        </w:tc>
        <w:tc>
          <w:tcPr>
            <w:tcW w:w="1268" w:type="dxa"/>
            <w:shd w:val="clear" w:color="auto" w:fill="auto"/>
            <w:vAlign w:val="center"/>
            <w:hideMark/>
          </w:tcPr>
          <w:p w:rsidR="00697969" w:rsidRPr="00697969" w:rsidRDefault="00697969" w:rsidP="00697969">
            <w:pPr>
              <w:spacing w:after="0" w:line="240" w:lineRule="auto"/>
              <w:jc w:val="right"/>
              <w:rPr>
                <w:rFonts w:eastAsia="Times New Roman" w:cstheme="minorHAnsi"/>
                <w:b/>
                <w:bCs/>
                <w:color w:val="000000"/>
                <w:sz w:val="16"/>
                <w:szCs w:val="16"/>
              </w:rPr>
            </w:pPr>
            <w:r w:rsidRPr="00697969">
              <w:rPr>
                <w:rFonts w:eastAsia="Times New Roman" w:cstheme="minorHAnsi"/>
                <w:b/>
                <w:bCs/>
                <w:color w:val="000000"/>
                <w:sz w:val="16"/>
                <w:szCs w:val="16"/>
              </w:rPr>
              <w:t>8,914,288,837</w:t>
            </w:r>
          </w:p>
        </w:tc>
        <w:tc>
          <w:tcPr>
            <w:tcW w:w="1151" w:type="dxa"/>
            <w:shd w:val="clear" w:color="auto" w:fill="auto"/>
            <w:vAlign w:val="center"/>
            <w:hideMark/>
          </w:tcPr>
          <w:p w:rsidR="00697969" w:rsidRPr="00697969" w:rsidRDefault="00697969" w:rsidP="00697969">
            <w:pPr>
              <w:spacing w:after="0" w:line="240" w:lineRule="auto"/>
              <w:jc w:val="right"/>
              <w:rPr>
                <w:rFonts w:eastAsia="Times New Roman" w:cstheme="minorHAnsi"/>
                <w:b/>
                <w:bCs/>
                <w:color w:val="000000"/>
                <w:sz w:val="16"/>
                <w:szCs w:val="16"/>
              </w:rPr>
            </w:pPr>
            <w:r w:rsidRPr="00697969">
              <w:rPr>
                <w:rFonts w:eastAsia="Times New Roman" w:cstheme="minorHAnsi"/>
                <w:b/>
                <w:bCs/>
                <w:color w:val="000000"/>
                <w:sz w:val="16"/>
                <w:szCs w:val="16"/>
              </w:rPr>
              <w:t>9,504,309,320</w:t>
            </w:r>
          </w:p>
        </w:tc>
        <w:tc>
          <w:tcPr>
            <w:tcW w:w="1151" w:type="dxa"/>
            <w:shd w:val="clear" w:color="auto" w:fill="auto"/>
            <w:vAlign w:val="center"/>
            <w:hideMark/>
          </w:tcPr>
          <w:p w:rsidR="00697969" w:rsidRPr="00697969" w:rsidRDefault="00697969" w:rsidP="00697969">
            <w:pPr>
              <w:spacing w:after="0" w:line="240" w:lineRule="auto"/>
              <w:jc w:val="right"/>
              <w:rPr>
                <w:rFonts w:eastAsia="Times New Roman" w:cstheme="minorHAnsi"/>
                <w:b/>
                <w:bCs/>
                <w:color w:val="000000"/>
                <w:sz w:val="16"/>
                <w:szCs w:val="16"/>
              </w:rPr>
            </w:pPr>
            <w:r w:rsidRPr="00697969">
              <w:rPr>
                <w:rFonts w:eastAsia="Times New Roman" w:cstheme="minorHAnsi"/>
                <w:b/>
                <w:bCs/>
                <w:color w:val="000000"/>
                <w:sz w:val="16"/>
                <w:szCs w:val="16"/>
              </w:rPr>
              <w:t>9,185,287,502</w:t>
            </w:r>
          </w:p>
        </w:tc>
        <w:tc>
          <w:tcPr>
            <w:tcW w:w="1270" w:type="dxa"/>
            <w:shd w:val="clear" w:color="auto" w:fill="auto"/>
            <w:vAlign w:val="center"/>
            <w:hideMark/>
          </w:tcPr>
          <w:p w:rsidR="00697969" w:rsidRPr="00697969" w:rsidRDefault="00697969" w:rsidP="00697969">
            <w:pPr>
              <w:spacing w:after="0" w:line="240" w:lineRule="auto"/>
              <w:jc w:val="right"/>
              <w:rPr>
                <w:rFonts w:eastAsia="Times New Roman" w:cstheme="minorHAnsi"/>
                <w:b/>
                <w:bCs/>
                <w:color w:val="000000"/>
                <w:sz w:val="16"/>
                <w:szCs w:val="16"/>
              </w:rPr>
            </w:pPr>
            <w:r w:rsidRPr="00697969">
              <w:rPr>
                <w:rFonts w:eastAsia="Times New Roman" w:cstheme="minorHAnsi"/>
                <w:b/>
                <w:bCs/>
                <w:color w:val="000000"/>
                <w:sz w:val="16"/>
                <w:szCs w:val="16"/>
              </w:rPr>
              <w:t>10,067,237,843</w:t>
            </w:r>
          </w:p>
        </w:tc>
      </w:tr>
      <w:tr w:rsidR="00697969" w:rsidRPr="00697969" w:rsidTr="00697969">
        <w:trPr>
          <w:trHeight w:val="397"/>
        </w:trPr>
        <w:tc>
          <w:tcPr>
            <w:tcW w:w="2097" w:type="dxa"/>
            <w:shd w:val="clear" w:color="auto" w:fill="auto"/>
            <w:vAlign w:val="center"/>
            <w:hideMark/>
          </w:tcPr>
          <w:p w:rsidR="00697969" w:rsidRPr="00697969" w:rsidRDefault="00697969" w:rsidP="00697969">
            <w:pPr>
              <w:spacing w:after="0" w:line="240" w:lineRule="auto"/>
              <w:rPr>
                <w:rFonts w:eastAsia="Times New Roman" w:cstheme="minorHAnsi"/>
                <w:color w:val="000000"/>
                <w:sz w:val="16"/>
                <w:szCs w:val="16"/>
              </w:rPr>
            </w:pPr>
            <w:r w:rsidRPr="00697969">
              <w:rPr>
                <w:rFonts w:eastAsia="Times New Roman" w:cstheme="minorHAnsi"/>
                <w:color w:val="000000"/>
                <w:sz w:val="16"/>
                <w:szCs w:val="16"/>
              </w:rPr>
              <w:t>Total Expenditure</w:t>
            </w:r>
          </w:p>
        </w:tc>
        <w:tc>
          <w:tcPr>
            <w:tcW w:w="1413"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7,203,307,455</w:t>
            </w:r>
          </w:p>
        </w:tc>
        <w:tc>
          <w:tcPr>
            <w:tcW w:w="1413"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7,178,973,617</w:t>
            </w:r>
          </w:p>
        </w:tc>
        <w:tc>
          <w:tcPr>
            <w:tcW w:w="1272"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7,760,021,558</w:t>
            </w:r>
          </w:p>
        </w:tc>
        <w:tc>
          <w:tcPr>
            <w:tcW w:w="1273"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8,471,566,018</w:t>
            </w:r>
          </w:p>
        </w:tc>
        <w:tc>
          <w:tcPr>
            <w:tcW w:w="1273"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8,651,348,386</w:t>
            </w:r>
          </w:p>
        </w:tc>
        <w:tc>
          <w:tcPr>
            <w:tcW w:w="1151"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8,973,014,359</w:t>
            </w:r>
          </w:p>
        </w:tc>
        <w:tc>
          <w:tcPr>
            <w:tcW w:w="1268"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8,914,288,837</w:t>
            </w:r>
          </w:p>
        </w:tc>
        <w:tc>
          <w:tcPr>
            <w:tcW w:w="1151"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9,504,309,320</w:t>
            </w:r>
          </w:p>
        </w:tc>
        <w:tc>
          <w:tcPr>
            <w:tcW w:w="1151"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9,185,287,502</w:t>
            </w:r>
          </w:p>
        </w:tc>
        <w:tc>
          <w:tcPr>
            <w:tcW w:w="1270"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10,067,237,843</w:t>
            </w:r>
          </w:p>
        </w:tc>
      </w:tr>
      <w:tr w:rsidR="00697969" w:rsidRPr="00697969" w:rsidTr="00697969">
        <w:trPr>
          <w:trHeight w:val="397"/>
        </w:trPr>
        <w:tc>
          <w:tcPr>
            <w:tcW w:w="2097" w:type="dxa"/>
            <w:shd w:val="clear" w:color="auto" w:fill="auto"/>
            <w:vAlign w:val="center"/>
            <w:hideMark/>
          </w:tcPr>
          <w:p w:rsidR="00697969" w:rsidRPr="00697969" w:rsidRDefault="00697969" w:rsidP="00697969">
            <w:pPr>
              <w:spacing w:after="0" w:line="240" w:lineRule="auto"/>
              <w:rPr>
                <w:rFonts w:eastAsia="Times New Roman" w:cstheme="minorHAnsi"/>
                <w:color w:val="000000"/>
                <w:sz w:val="16"/>
                <w:szCs w:val="16"/>
              </w:rPr>
            </w:pPr>
            <w:r w:rsidRPr="00697969">
              <w:rPr>
                <w:rFonts w:eastAsia="Times New Roman" w:cstheme="minorHAnsi"/>
                <w:color w:val="000000"/>
                <w:sz w:val="16"/>
                <w:szCs w:val="16"/>
              </w:rPr>
              <w:t>Recurrent</w:t>
            </w:r>
          </w:p>
        </w:tc>
        <w:tc>
          <w:tcPr>
            <w:tcW w:w="1413"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3,764,875,624</w:t>
            </w:r>
          </w:p>
        </w:tc>
        <w:tc>
          <w:tcPr>
            <w:tcW w:w="1413"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4,295,633,497</w:t>
            </w:r>
          </w:p>
        </w:tc>
        <w:tc>
          <w:tcPr>
            <w:tcW w:w="1272"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4,514,823,509</w:t>
            </w:r>
          </w:p>
        </w:tc>
        <w:tc>
          <w:tcPr>
            <w:tcW w:w="1273"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3,981,636,028</w:t>
            </w:r>
          </w:p>
        </w:tc>
        <w:tc>
          <w:tcPr>
            <w:tcW w:w="1273"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4,671,728,128</w:t>
            </w:r>
          </w:p>
        </w:tc>
        <w:tc>
          <w:tcPr>
            <w:tcW w:w="1151"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4,576,237,323</w:t>
            </w:r>
          </w:p>
        </w:tc>
        <w:tc>
          <w:tcPr>
            <w:tcW w:w="1268"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4,635,430,195</w:t>
            </w:r>
          </w:p>
        </w:tc>
        <w:tc>
          <w:tcPr>
            <w:tcW w:w="1151"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4,894,719,300</w:t>
            </w:r>
          </w:p>
        </w:tc>
        <w:tc>
          <w:tcPr>
            <w:tcW w:w="1151"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4,776,349,501</w:t>
            </w:r>
          </w:p>
        </w:tc>
        <w:tc>
          <w:tcPr>
            <w:tcW w:w="1270"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5,134,291,300</w:t>
            </w:r>
          </w:p>
        </w:tc>
      </w:tr>
      <w:tr w:rsidR="00697969" w:rsidRPr="00697969" w:rsidTr="00697969">
        <w:trPr>
          <w:trHeight w:val="397"/>
        </w:trPr>
        <w:tc>
          <w:tcPr>
            <w:tcW w:w="2097" w:type="dxa"/>
            <w:shd w:val="clear" w:color="auto" w:fill="auto"/>
            <w:vAlign w:val="center"/>
            <w:hideMark/>
          </w:tcPr>
          <w:p w:rsidR="00697969" w:rsidRPr="00697969" w:rsidRDefault="00697969" w:rsidP="00697969">
            <w:pPr>
              <w:spacing w:after="0" w:line="240" w:lineRule="auto"/>
              <w:rPr>
                <w:rFonts w:eastAsia="Times New Roman" w:cstheme="minorHAnsi"/>
                <w:i/>
                <w:iCs/>
                <w:color w:val="000000"/>
                <w:sz w:val="16"/>
                <w:szCs w:val="16"/>
              </w:rPr>
            </w:pPr>
            <w:r w:rsidRPr="00697969">
              <w:rPr>
                <w:rFonts w:eastAsia="Times New Roman" w:cstheme="minorHAnsi"/>
                <w:i/>
                <w:iCs/>
                <w:color w:val="000000"/>
                <w:sz w:val="16"/>
                <w:szCs w:val="16"/>
              </w:rPr>
              <w:t>Recurrent as % of CG Total Revenue</w:t>
            </w:r>
          </w:p>
        </w:tc>
        <w:tc>
          <w:tcPr>
            <w:tcW w:w="1413" w:type="dxa"/>
            <w:shd w:val="clear" w:color="auto" w:fill="auto"/>
            <w:vAlign w:val="center"/>
            <w:hideMark/>
          </w:tcPr>
          <w:p w:rsidR="00697969" w:rsidRPr="00697969" w:rsidRDefault="00697969" w:rsidP="00697969">
            <w:pPr>
              <w:spacing w:after="0" w:line="240" w:lineRule="auto"/>
              <w:jc w:val="center"/>
              <w:rPr>
                <w:rFonts w:eastAsia="Times New Roman" w:cstheme="minorHAnsi"/>
                <w:i/>
                <w:iCs/>
                <w:color w:val="000000"/>
                <w:sz w:val="16"/>
                <w:szCs w:val="16"/>
              </w:rPr>
            </w:pPr>
            <w:r w:rsidRPr="00697969">
              <w:rPr>
                <w:rFonts w:eastAsia="Times New Roman" w:cstheme="minorHAnsi"/>
                <w:i/>
                <w:iCs/>
                <w:color w:val="000000"/>
                <w:sz w:val="16"/>
                <w:szCs w:val="16"/>
              </w:rPr>
              <w:t>52%</w:t>
            </w:r>
          </w:p>
        </w:tc>
        <w:tc>
          <w:tcPr>
            <w:tcW w:w="1413" w:type="dxa"/>
            <w:shd w:val="clear" w:color="auto" w:fill="auto"/>
            <w:vAlign w:val="center"/>
            <w:hideMark/>
          </w:tcPr>
          <w:p w:rsidR="00697969" w:rsidRPr="00697969" w:rsidRDefault="00697969" w:rsidP="00697969">
            <w:pPr>
              <w:spacing w:after="0" w:line="240" w:lineRule="auto"/>
              <w:jc w:val="center"/>
              <w:rPr>
                <w:rFonts w:eastAsia="Times New Roman" w:cstheme="minorHAnsi"/>
                <w:i/>
                <w:iCs/>
                <w:color w:val="000000"/>
                <w:sz w:val="16"/>
                <w:szCs w:val="16"/>
              </w:rPr>
            </w:pPr>
            <w:r w:rsidRPr="00697969">
              <w:rPr>
                <w:rFonts w:eastAsia="Times New Roman" w:cstheme="minorHAnsi"/>
                <w:i/>
                <w:iCs/>
                <w:color w:val="000000"/>
                <w:sz w:val="16"/>
                <w:szCs w:val="16"/>
              </w:rPr>
              <w:t>46%</w:t>
            </w:r>
          </w:p>
        </w:tc>
        <w:tc>
          <w:tcPr>
            <w:tcW w:w="1272" w:type="dxa"/>
            <w:shd w:val="clear" w:color="auto" w:fill="auto"/>
            <w:vAlign w:val="center"/>
            <w:hideMark/>
          </w:tcPr>
          <w:p w:rsidR="00697969" w:rsidRPr="00697969" w:rsidRDefault="00697969" w:rsidP="00697969">
            <w:pPr>
              <w:spacing w:after="0" w:line="240" w:lineRule="auto"/>
              <w:jc w:val="center"/>
              <w:rPr>
                <w:rFonts w:eastAsia="Times New Roman" w:cstheme="minorHAnsi"/>
                <w:i/>
                <w:iCs/>
                <w:color w:val="000000"/>
                <w:sz w:val="16"/>
                <w:szCs w:val="16"/>
              </w:rPr>
            </w:pPr>
            <w:r w:rsidRPr="00697969">
              <w:rPr>
                <w:rFonts w:eastAsia="Times New Roman" w:cstheme="minorHAnsi"/>
                <w:i/>
                <w:iCs/>
                <w:color w:val="000000"/>
                <w:sz w:val="16"/>
                <w:szCs w:val="16"/>
              </w:rPr>
              <w:t>58%</w:t>
            </w:r>
          </w:p>
        </w:tc>
        <w:tc>
          <w:tcPr>
            <w:tcW w:w="1273" w:type="dxa"/>
            <w:shd w:val="clear" w:color="auto" w:fill="auto"/>
            <w:vAlign w:val="center"/>
            <w:hideMark/>
          </w:tcPr>
          <w:p w:rsidR="00697969" w:rsidRPr="00697969" w:rsidRDefault="00697969" w:rsidP="00697969">
            <w:pPr>
              <w:spacing w:after="0" w:line="240" w:lineRule="auto"/>
              <w:jc w:val="center"/>
              <w:rPr>
                <w:rFonts w:eastAsia="Times New Roman" w:cstheme="minorHAnsi"/>
                <w:i/>
                <w:iCs/>
                <w:color w:val="000000"/>
                <w:sz w:val="16"/>
                <w:szCs w:val="16"/>
              </w:rPr>
            </w:pPr>
            <w:r w:rsidRPr="00697969">
              <w:rPr>
                <w:rFonts w:eastAsia="Times New Roman" w:cstheme="minorHAnsi"/>
                <w:i/>
                <w:iCs/>
                <w:color w:val="000000"/>
                <w:sz w:val="16"/>
                <w:szCs w:val="16"/>
              </w:rPr>
              <w:t>47%</w:t>
            </w:r>
          </w:p>
        </w:tc>
        <w:tc>
          <w:tcPr>
            <w:tcW w:w="1273" w:type="dxa"/>
            <w:shd w:val="clear" w:color="auto" w:fill="auto"/>
            <w:vAlign w:val="center"/>
            <w:hideMark/>
          </w:tcPr>
          <w:p w:rsidR="00697969" w:rsidRPr="00697969" w:rsidRDefault="00697969" w:rsidP="00697969">
            <w:pPr>
              <w:spacing w:after="0" w:line="240" w:lineRule="auto"/>
              <w:jc w:val="center"/>
              <w:rPr>
                <w:rFonts w:eastAsia="Times New Roman" w:cstheme="minorHAnsi"/>
                <w:i/>
                <w:iCs/>
                <w:color w:val="000000"/>
                <w:sz w:val="16"/>
                <w:szCs w:val="16"/>
              </w:rPr>
            </w:pPr>
            <w:r w:rsidRPr="00697969">
              <w:rPr>
                <w:rFonts w:eastAsia="Times New Roman" w:cstheme="minorHAnsi"/>
                <w:i/>
                <w:iCs/>
                <w:color w:val="000000"/>
                <w:sz w:val="16"/>
                <w:szCs w:val="16"/>
              </w:rPr>
              <w:t>54%</w:t>
            </w:r>
          </w:p>
        </w:tc>
        <w:tc>
          <w:tcPr>
            <w:tcW w:w="1151" w:type="dxa"/>
            <w:shd w:val="clear" w:color="auto" w:fill="auto"/>
            <w:vAlign w:val="center"/>
            <w:hideMark/>
          </w:tcPr>
          <w:p w:rsidR="00697969" w:rsidRPr="00697969" w:rsidRDefault="00697969" w:rsidP="00697969">
            <w:pPr>
              <w:spacing w:after="0" w:line="240" w:lineRule="auto"/>
              <w:jc w:val="right"/>
              <w:rPr>
                <w:rFonts w:eastAsia="Times New Roman" w:cstheme="minorHAnsi"/>
                <w:i/>
                <w:iCs/>
                <w:color w:val="000000"/>
                <w:sz w:val="16"/>
                <w:szCs w:val="16"/>
              </w:rPr>
            </w:pPr>
            <w:r w:rsidRPr="00697969">
              <w:rPr>
                <w:rFonts w:eastAsia="Times New Roman" w:cstheme="minorHAnsi"/>
                <w:i/>
                <w:iCs/>
                <w:color w:val="000000"/>
                <w:sz w:val="16"/>
                <w:szCs w:val="16"/>
              </w:rPr>
              <w:t>51%</w:t>
            </w:r>
          </w:p>
        </w:tc>
        <w:tc>
          <w:tcPr>
            <w:tcW w:w="1268" w:type="dxa"/>
            <w:shd w:val="clear" w:color="auto" w:fill="auto"/>
            <w:vAlign w:val="center"/>
            <w:hideMark/>
          </w:tcPr>
          <w:p w:rsidR="00697969" w:rsidRPr="00697969" w:rsidRDefault="00697969" w:rsidP="00697969">
            <w:pPr>
              <w:spacing w:after="0" w:line="240" w:lineRule="auto"/>
              <w:jc w:val="right"/>
              <w:rPr>
                <w:rFonts w:eastAsia="Times New Roman" w:cstheme="minorHAnsi"/>
                <w:i/>
                <w:iCs/>
                <w:color w:val="000000"/>
                <w:sz w:val="16"/>
                <w:szCs w:val="16"/>
              </w:rPr>
            </w:pPr>
            <w:r w:rsidRPr="00697969">
              <w:rPr>
                <w:rFonts w:eastAsia="Times New Roman" w:cstheme="minorHAnsi"/>
                <w:i/>
                <w:iCs/>
                <w:color w:val="000000"/>
                <w:sz w:val="16"/>
                <w:szCs w:val="16"/>
              </w:rPr>
              <w:t>52%</w:t>
            </w:r>
          </w:p>
        </w:tc>
        <w:tc>
          <w:tcPr>
            <w:tcW w:w="1151" w:type="dxa"/>
            <w:shd w:val="clear" w:color="auto" w:fill="auto"/>
            <w:vAlign w:val="center"/>
            <w:hideMark/>
          </w:tcPr>
          <w:p w:rsidR="00697969" w:rsidRPr="00697969" w:rsidRDefault="00697969" w:rsidP="00697969">
            <w:pPr>
              <w:spacing w:after="0" w:line="240" w:lineRule="auto"/>
              <w:jc w:val="right"/>
              <w:rPr>
                <w:rFonts w:eastAsia="Times New Roman" w:cstheme="minorHAnsi"/>
                <w:i/>
                <w:iCs/>
                <w:color w:val="000000"/>
                <w:sz w:val="16"/>
                <w:szCs w:val="16"/>
              </w:rPr>
            </w:pPr>
            <w:r w:rsidRPr="00697969">
              <w:rPr>
                <w:rFonts w:eastAsia="Times New Roman" w:cstheme="minorHAnsi"/>
                <w:i/>
                <w:iCs/>
                <w:color w:val="000000"/>
                <w:sz w:val="16"/>
                <w:szCs w:val="16"/>
              </w:rPr>
              <w:t>52%</w:t>
            </w:r>
          </w:p>
        </w:tc>
        <w:tc>
          <w:tcPr>
            <w:tcW w:w="1151" w:type="dxa"/>
            <w:shd w:val="clear" w:color="auto" w:fill="auto"/>
            <w:vAlign w:val="center"/>
            <w:hideMark/>
          </w:tcPr>
          <w:p w:rsidR="00697969" w:rsidRPr="00697969" w:rsidRDefault="00697969" w:rsidP="00697969">
            <w:pPr>
              <w:spacing w:after="0" w:line="240" w:lineRule="auto"/>
              <w:jc w:val="right"/>
              <w:rPr>
                <w:rFonts w:eastAsia="Times New Roman" w:cstheme="minorHAnsi"/>
                <w:i/>
                <w:iCs/>
                <w:color w:val="000000"/>
                <w:sz w:val="16"/>
                <w:szCs w:val="16"/>
              </w:rPr>
            </w:pPr>
            <w:r w:rsidRPr="00697969">
              <w:rPr>
                <w:rFonts w:eastAsia="Times New Roman" w:cstheme="minorHAnsi"/>
                <w:i/>
                <w:iCs/>
                <w:color w:val="000000"/>
                <w:sz w:val="16"/>
                <w:szCs w:val="16"/>
              </w:rPr>
              <w:t>52%</w:t>
            </w:r>
          </w:p>
        </w:tc>
        <w:tc>
          <w:tcPr>
            <w:tcW w:w="1270" w:type="dxa"/>
            <w:shd w:val="clear" w:color="auto" w:fill="auto"/>
            <w:vAlign w:val="center"/>
            <w:hideMark/>
          </w:tcPr>
          <w:p w:rsidR="00697969" w:rsidRPr="00697969" w:rsidRDefault="00697969" w:rsidP="00697969">
            <w:pPr>
              <w:spacing w:after="0" w:line="240" w:lineRule="auto"/>
              <w:jc w:val="right"/>
              <w:rPr>
                <w:rFonts w:eastAsia="Times New Roman" w:cstheme="minorHAnsi"/>
                <w:i/>
                <w:iCs/>
                <w:color w:val="000000"/>
                <w:sz w:val="16"/>
                <w:szCs w:val="16"/>
              </w:rPr>
            </w:pPr>
            <w:r w:rsidRPr="00697969">
              <w:rPr>
                <w:rFonts w:eastAsia="Times New Roman" w:cstheme="minorHAnsi"/>
                <w:i/>
                <w:iCs/>
                <w:color w:val="000000"/>
                <w:sz w:val="16"/>
                <w:szCs w:val="16"/>
              </w:rPr>
              <w:t>51%</w:t>
            </w:r>
          </w:p>
        </w:tc>
      </w:tr>
      <w:tr w:rsidR="00697969" w:rsidRPr="00697969" w:rsidTr="00697969">
        <w:trPr>
          <w:trHeight w:val="397"/>
        </w:trPr>
        <w:tc>
          <w:tcPr>
            <w:tcW w:w="2097" w:type="dxa"/>
            <w:shd w:val="clear" w:color="auto" w:fill="auto"/>
            <w:vAlign w:val="center"/>
            <w:hideMark/>
          </w:tcPr>
          <w:p w:rsidR="00697969" w:rsidRPr="00697969" w:rsidRDefault="00697969" w:rsidP="00697969">
            <w:pPr>
              <w:spacing w:after="0" w:line="240" w:lineRule="auto"/>
              <w:rPr>
                <w:rFonts w:eastAsia="Times New Roman" w:cstheme="minorHAnsi"/>
                <w:color w:val="000000"/>
                <w:sz w:val="16"/>
                <w:szCs w:val="16"/>
              </w:rPr>
            </w:pPr>
            <w:r w:rsidRPr="00697969">
              <w:rPr>
                <w:rFonts w:eastAsia="Times New Roman" w:cstheme="minorHAnsi"/>
                <w:color w:val="000000"/>
                <w:sz w:val="16"/>
                <w:szCs w:val="16"/>
              </w:rPr>
              <w:t>Personnel Emolument</w:t>
            </w:r>
          </w:p>
        </w:tc>
        <w:tc>
          <w:tcPr>
            <w:tcW w:w="1413"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2,567,866,537</w:t>
            </w:r>
          </w:p>
        </w:tc>
        <w:tc>
          <w:tcPr>
            <w:tcW w:w="1413"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2,801,766,781</w:t>
            </w:r>
          </w:p>
        </w:tc>
        <w:tc>
          <w:tcPr>
            <w:tcW w:w="1272"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2,801,611,546</w:t>
            </w:r>
          </w:p>
        </w:tc>
        <w:tc>
          <w:tcPr>
            <w:tcW w:w="1273"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2,941,855,120</w:t>
            </w:r>
          </w:p>
        </w:tc>
        <w:tc>
          <w:tcPr>
            <w:tcW w:w="1273"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2,856,446,926</w:t>
            </w:r>
          </w:p>
        </w:tc>
        <w:tc>
          <w:tcPr>
            <w:tcW w:w="1151"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2,961,094,739</w:t>
            </w:r>
          </w:p>
        </w:tc>
        <w:tc>
          <w:tcPr>
            <w:tcW w:w="1268"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1,576,046,266</w:t>
            </w:r>
          </w:p>
        </w:tc>
        <w:tc>
          <w:tcPr>
            <w:tcW w:w="1151"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3,041,378,982</w:t>
            </w:r>
          </w:p>
        </w:tc>
        <w:tc>
          <w:tcPr>
            <w:tcW w:w="1151"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2,755,586,251</w:t>
            </w:r>
          </w:p>
        </w:tc>
        <w:tc>
          <w:tcPr>
            <w:tcW w:w="1270"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3,221,516,110</w:t>
            </w:r>
          </w:p>
        </w:tc>
      </w:tr>
      <w:tr w:rsidR="00697969" w:rsidRPr="00697969" w:rsidTr="00697969">
        <w:trPr>
          <w:trHeight w:val="397"/>
        </w:trPr>
        <w:tc>
          <w:tcPr>
            <w:tcW w:w="2097" w:type="dxa"/>
            <w:shd w:val="clear" w:color="auto" w:fill="auto"/>
            <w:vAlign w:val="center"/>
            <w:hideMark/>
          </w:tcPr>
          <w:p w:rsidR="00697969" w:rsidRPr="00697969" w:rsidRDefault="00697969" w:rsidP="00697969">
            <w:pPr>
              <w:spacing w:after="0" w:line="240" w:lineRule="auto"/>
              <w:rPr>
                <w:rFonts w:eastAsia="Times New Roman" w:cstheme="minorHAnsi"/>
                <w:color w:val="000000"/>
                <w:sz w:val="16"/>
                <w:szCs w:val="16"/>
              </w:rPr>
            </w:pPr>
            <w:r w:rsidRPr="00697969">
              <w:rPr>
                <w:rFonts w:eastAsia="Times New Roman" w:cstheme="minorHAnsi"/>
                <w:color w:val="000000"/>
                <w:sz w:val="16"/>
                <w:szCs w:val="16"/>
              </w:rPr>
              <w:t>Operations &amp; Maintenance</w:t>
            </w:r>
          </w:p>
        </w:tc>
        <w:tc>
          <w:tcPr>
            <w:tcW w:w="1413"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1,197,009,087</w:t>
            </w:r>
          </w:p>
        </w:tc>
        <w:tc>
          <w:tcPr>
            <w:tcW w:w="1413"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1,493,866,716</w:t>
            </w:r>
          </w:p>
        </w:tc>
        <w:tc>
          <w:tcPr>
            <w:tcW w:w="1272"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1,713,211,963</w:t>
            </w:r>
          </w:p>
        </w:tc>
        <w:tc>
          <w:tcPr>
            <w:tcW w:w="1273"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1,039,780,908</w:t>
            </w:r>
          </w:p>
        </w:tc>
        <w:tc>
          <w:tcPr>
            <w:tcW w:w="1273"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1,815,281,202</w:t>
            </w:r>
          </w:p>
        </w:tc>
        <w:tc>
          <w:tcPr>
            <w:tcW w:w="1151"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1,615,142,585</w:t>
            </w:r>
          </w:p>
        </w:tc>
        <w:tc>
          <w:tcPr>
            <w:tcW w:w="1268"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3,059,383,929</w:t>
            </w:r>
          </w:p>
        </w:tc>
        <w:tc>
          <w:tcPr>
            <w:tcW w:w="1151"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1,853,340,317</w:t>
            </w:r>
          </w:p>
        </w:tc>
        <w:tc>
          <w:tcPr>
            <w:tcW w:w="1151"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2,020,763,251</w:t>
            </w:r>
          </w:p>
        </w:tc>
        <w:tc>
          <w:tcPr>
            <w:tcW w:w="1270"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1,912,775,190</w:t>
            </w:r>
          </w:p>
        </w:tc>
      </w:tr>
      <w:tr w:rsidR="00697969" w:rsidRPr="00697969" w:rsidTr="00697969">
        <w:trPr>
          <w:trHeight w:val="397"/>
        </w:trPr>
        <w:tc>
          <w:tcPr>
            <w:tcW w:w="2097" w:type="dxa"/>
            <w:shd w:val="clear" w:color="auto" w:fill="auto"/>
            <w:vAlign w:val="center"/>
            <w:hideMark/>
          </w:tcPr>
          <w:p w:rsidR="00697969" w:rsidRPr="00697969" w:rsidRDefault="00697969" w:rsidP="00697969">
            <w:pPr>
              <w:spacing w:after="0" w:line="240" w:lineRule="auto"/>
              <w:rPr>
                <w:rFonts w:eastAsia="Times New Roman" w:cstheme="minorHAnsi"/>
                <w:i/>
                <w:iCs/>
                <w:color w:val="000000"/>
                <w:sz w:val="16"/>
                <w:szCs w:val="16"/>
              </w:rPr>
            </w:pPr>
            <w:r w:rsidRPr="00697969">
              <w:rPr>
                <w:rFonts w:eastAsia="Times New Roman" w:cstheme="minorHAnsi"/>
                <w:i/>
                <w:iCs/>
                <w:color w:val="000000"/>
                <w:sz w:val="16"/>
                <w:szCs w:val="16"/>
              </w:rPr>
              <w:t>Personnel Emoluments as % of CG Revenue</w:t>
            </w:r>
          </w:p>
        </w:tc>
        <w:tc>
          <w:tcPr>
            <w:tcW w:w="1413" w:type="dxa"/>
            <w:shd w:val="clear" w:color="auto" w:fill="auto"/>
            <w:vAlign w:val="center"/>
            <w:hideMark/>
          </w:tcPr>
          <w:p w:rsidR="00697969" w:rsidRPr="00697969" w:rsidRDefault="00697969" w:rsidP="00697969">
            <w:pPr>
              <w:spacing w:after="0" w:line="240" w:lineRule="auto"/>
              <w:jc w:val="center"/>
              <w:rPr>
                <w:rFonts w:eastAsia="Times New Roman" w:cstheme="minorHAnsi"/>
                <w:i/>
                <w:iCs/>
                <w:color w:val="000000"/>
                <w:sz w:val="16"/>
                <w:szCs w:val="16"/>
              </w:rPr>
            </w:pPr>
            <w:r w:rsidRPr="00697969">
              <w:rPr>
                <w:rFonts w:eastAsia="Times New Roman" w:cstheme="minorHAnsi"/>
                <w:i/>
                <w:iCs/>
                <w:color w:val="000000"/>
                <w:sz w:val="16"/>
                <w:szCs w:val="16"/>
              </w:rPr>
              <w:t>31%</w:t>
            </w:r>
          </w:p>
        </w:tc>
        <w:tc>
          <w:tcPr>
            <w:tcW w:w="1413" w:type="dxa"/>
            <w:shd w:val="clear" w:color="auto" w:fill="auto"/>
            <w:vAlign w:val="center"/>
            <w:hideMark/>
          </w:tcPr>
          <w:p w:rsidR="00697969" w:rsidRPr="00697969" w:rsidRDefault="00697969" w:rsidP="00697969">
            <w:pPr>
              <w:spacing w:after="0" w:line="240" w:lineRule="auto"/>
              <w:jc w:val="center"/>
              <w:rPr>
                <w:rFonts w:eastAsia="Times New Roman" w:cstheme="minorHAnsi"/>
                <w:i/>
                <w:iCs/>
                <w:color w:val="000000"/>
                <w:sz w:val="16"/>
                <w:szCs w:val="16"/>
              </w:rPr>
            </w:pPr>
            <w:r w:rsidRPr="00697969">
              <w:rPr>
                <w:rFonts w:eastAsia="Times New Roman" w:cstheme="minorHAnsi"/>
                <w:i/>
                <w:iCs/>
                <w:color w:val="000000"/>
                <w:sz w:val="16"/>
                <w:szCs w:val="16"/>
              </w:rPr>
              <w:t>30%</w:t>
            </w:r>
          </w:p>
        </w:tc>
        <w:tc>
          <w:tcPr>
            <w:tcW w:w="1272" w:type="dxa"/>
            <w:shd w:val="clear" w:color="auto" w:fill="auto"/>
            <w:vAlign w:val="center"/>
            <w:hideMark/>
          </w:tcPr>
          <w:p w:rsidR="00697969" w:rsidRPr="00697969" w:rsidRDefault="00697969" w:rsidP="00697969">
            <w:pPr>
              <w:spacing w:after="0" w:line="240" w:lineRule="auto"/>
              <w:jc w:val="center"/>
              <w:rPr>
                <w:rFonts w:eastAsia="Times New Roman" w:cstheme="minorHAnsi"/>
                <w:i/>
                <w:iCs/>
                <w:color w:val="000000"/>
                <w:sz w:val="16"/>
                <w:szCs w:val="16"/>
              </w:rPr>
            </w:pPr>
            <w:r w:rsidRPr="00697969">
              <w:rPr>
                <w:rFonts w:eastAsia="Times New Roman" w:cstheme="minorHAnsi"/>
                <w:i/>
                <w:iCs/>
                <w:color w:val="000000"/>
                <w:sz w:val="16"/>
                <w:szCs w:val="16"/>
              </w:rPr>
              <w:t>37%</w:t>
            </w:r>
          </w:p>
        </w:tc>
        <w:tc>
          <w:tcPr>
            <w:tcW w:w="1273" w:type="dxa"/>
            <w:shd w:val="clear" w:color="auto" w:fill="auto"/>
            <w:vAlign w:val="center"/>
            <w:hideMark/>
          </w:tcPr>
          <w:p w:rsidR="00697969" w:rsidRPr="00697969" w:rsidRDefault="00697969" w:rsidP="00697969">
            <w:pPr>
              <w:spacing w:after="0" w:line="240" w:lineRule="auto"/>
              <w:jc w:val="center"/>
              <w:rPr>
                <w:rFonts w:eastAsia="Times New Roman" w:cstheme="minorHAnsi"/>
                <w:i/>
                <w:iCs/>
                <w:color w:val="000000"/>
                <w:sz w:val="16"/>
                <w:szCs w:val="16"/>
              </w:rPr>
            </w:pPr>
            <w:r w:rsidRPr="00697969">
              <w:rPr>
                <w:rFonts w:eastAsia="Times New Roman" w:cstheme="minorHAnsi"/>
                <w:i/>
                <w:iCs/>
                <w:color w:val="000000"/>
                <w:sz w:val="16"/>
                <w:szCs w:val="16"/>
              </w:rPr>
              <w:t>32%</w:t>
            </w:r>
          </w:p>
        </w:tc>
        <w:tc>
          <w:tcPr>
            <w:tcW w:w="1273" w:type="dxa"/>
            <w:shd w:val="clear" w:color="auto" w:fill="auto"/>
            <w:vAlign w:val="center"/>
            <w:hideMark/>
          </w:tcPr>
          <w:p w:rsidR="00697969" w:rsidRPr="00697969" w:rsidRDefault="00697969" w:rsidP="00697969">
            <w:pPr>
              <w:spacing w:after="0" w:line="240" w:lineRule="auto"/>
              <w:jc w:val="center"/>
              <w:rPr>
                <w:rFonts w:eastAsia="Times New Roman" w:cstheme="minorHAnsi"/>
                <w:i/>
                <w:iCs/>
                <w:color w:val="000000"/>
                <w:sz w:val="16"/>
                <w:szCs w:val="16"/>
              </w:rPr>
            </w:pPr>
            <w:r w:rsidRPr="00697969">
              <w:rPr>
                <w:rFonts w:eastAsia="Times New Roman" w:cstheme="minorHAnsi"/>
                <w:i/>
                <w:iCs/>
                <w:color w:val="000000"/>
                <w:sz w:val="16"/>
                <w:szCs w:val="16"/>
              </w:rPr>
              <w:t>34%</w:t>
            </w:r>
          </w:p>
        </w:tc>
        <w:tc>
          <w:tcPr>
            <w:tcW w:w="1151" w:type="dxa"/>
            <w:shd w:val="clear" w:color="auto" w:fill="auto"/>
            <w:vAlign w:val="center"/>
            <w:hideMark/>
          </w:tcPr>
          <w:p w:rsidR="00697969" w:rsidRPr="00697969" w:rsidRDefault="00697969" w:rsidP="00697969">
            <w:pPr>
              <w:spacing w:after="0" w:line="240" w:lineRule="auto"/>
              <w:jc w:val="center"/>
              <w:rPr>
                <w:rFonts w:eastAsia="Times New Roman" w:cstheme="minorHAnsi"/>
                <w:i/>
                <w:iCs/>
                <w:color w:val="000000"/>
                <w:sz w:val="16"/>
                <w:szCs w:val="16"/>
              </w:rPr>
            </w:pPr>
            <w:r w:rsidRPr="00697969">
              <w:rPr>
                <w:rFonts w:eastAsia="Times New Roman" w:cstheme="minorHAnsi"/>
                <w:i/>
                <w:iCs/>
                <w:color w:val="000000"/>
                <w:sz w:val="16"/>
                <w:szCs w:val="16"/>
              </w:rPr>
              <w:t>33%</w:t>
            </w:r>
          </w:p>
        </w:tc>
        <w:tc>
          <w:tcPr>
            <w:tcW w:w="1268" w:type="dxa"/>
            <w:shd w:val="clear" w:color="auto" w:fill="auto"/>
            <w:vAlign w:val="center"/>
            <w:hideMark/>
          </w:tcPr>
          <w:p w:rsidR="00697969" w:rsidRPr="00697969" w:rsidRDefault="00697969" w:rsidP="00697969">
            <w:pPr>
              <w:spacing w:after="0" w:line="240" w:lineRule="auto"/>
              <w:jc w:val="center"/>
              <w:rPr>
                <w:rFonts w:eastAsia="Times New Roman" w:cstheme="minorHAnsi"/>
                <w:i/>
                <w:iCs/>
                <w:color w:val="000000"/>
                <w:sz w:val="16"/>
                <w:szCs w:val="16"/>
              </w:rPr>
            </w:pPr>
            <w:r w:rsidRPr="00697969">
              <w:rPr>
                <w:rFonts w:eastAsia="Times New Roman" w:cstheme="minorHAnsi"/>
                <w:i/>
                <w:iCs/>
                <w:color w:val="000000"/>
                <w:sz w:val="16"/>
                <w:szCs w:val="16"/>
              </w:rPr>
              <w:t>34%</w:t>
            </w:r>
          </w:p>
        </w:tc>
        <w:tc>
          <w:tcPr>
            <w:tcW w:w="1151" w:type="dxa"/>
            <w:shd w:val="clear" w:color="auto" w:fill="auto"/>
            <w:vAlign w:val="center"/>
            <w:hideMark/>
          </w:tcPr>
          <w:p w:rsidR="00697969" w:rsidRPr="00697969" w:rsidRDefault="00697969" w:rsidP="00697969">
            <w:pPr>
              <w:spacing w:after="0" w:line="240" w:lineRule="auto"/>
              <w:jc w:val="center"/>
              <w:rPr>
                <w:rFonts w:eastAsia="Times New Roman" w:cstheme="minorHAnsi"/>
                <w:i/>
                <w:iCs/>
                <w:color w:val="000000"/>
                <w:sz w:val="16"/>
                <w:szCs w:val="16"/>
              </w:rPr>
            </w:pPr>
            <w:r w:rsidRPr="00697969">
              <w:rPr>
                <w:rFonts w:eastAsia="Times New Roman" w:cstheme="minorHAnsi"/>
                <w:i/>
                <w:iCs/>
                <w:color w:val="000000"/>
                <w:sz w:val="16"/>
                <w:szCs w:val="16"/>
              </w:rPr>
              <w:t>32%</w:t>
            </w:r>
          </w:p>
        </w:tc>
        <w:tc>
          <w:tcPr>
            <w:tcW w:w="1151" w:type="dxa"/>
            <w:shd w:val="clear" w:color="auto" w:fill="auto"/>
            <w:vAlign w:val="center"/>
            <w:hideMark/>
          </w:tcPr>
          <w:p w:rsidR="00697969" w:rsidRPr="00697969" w:rsidRDefault="00697969" w:rsidP="00697969">
            <w:pPr>
              <w:spacing w:after="0" w:line="240" w:lineRule="auto"/>
              <w:jc w:val="center"/>
              <w:rPr>
                <w:rFonts w:eastAsia="Times New Roman" w:cstheme="minorHAnsi"/>
                <w:i/>
                <w:iCs/>
                <w:color w:val="000000"/>
                <w:sz w:val="16"/>
                <w:szCs w:val="16"/>
              </w:rPr>
            </w:pPr>
            <w:r w:rsidRPr="00697969">
              <w:rPr>
                <w:rFonts w:eastAsia="Times New Roman" w:cstheme="minorHAnsi"/>
                <w:i/>
                <w:iCs/>
                <w:color w:val="000000"/>
                <w:sz w:val="16"/>
                <w:szCs w:val="16"/>
              </w:rPr>
              <w:t>30%</w:t>
            </w:r>
          </w:p>
        </w:tc>
        <w:tc>
          <w:tcPr>
            <w:tcW w:w="1270" w:type="dxa"/>
            <w:shd w:val="clear" w:color="auto" w:fill="auto"/>
            <w:vAlign w:val="center"/>
            <w:hideMark/>
          </w:tcPr>
          <w:p w:rsidR="00697969" w:rsidRPr="00697969" w:rsidRDefault="00697969" w:rsidP="00697969">
            <w:pPr>
              <w:spacing w:after="0" w:line="240" w:lineRule="auto"/>
              <w:jc w:val="center"/>
              <w:rPr>
                <w:rFonts w:eastAsia="Times New Roman" w:cstheme="minorHAnsi"/>
                <w:i/>
                <w:iCs/>
                <w:color w:val="000000"/>
                <w:sz w:val="16"/>
                <w:szCs w:val="16"/>
              </w:rPr>
            </w:pPr>
            <w:r w:rsidRPr="00697969">
              <w:rPr>
                <w:rFonts w:eastAsia="Times New Roman" w:cstheme="minorHAnsi"/>
                <w:i/>
                <w:iCs/>
                <w:color w:val="000000"/>
                <w:sz w:val="16"/>
                <w:szCs w:val="16"/>
              </w:rPr>
              <w:t>32%</w:t>
            </w:r>
          </w:p>
        </w:tc>
      </w:tr>
      <w:tr w:rsidR="00697969" w:rsidRPr="00697969" w:rsidTr="00697969">
        <w:trPr>
          <w:trHeight w:val="397"/>
        </w:trPr>
        <w:tc>
          <w:tcPr>
            <w:tcW w:w="2097" w:type="dxa"/>
            <w:shd w:val="clear" w:color="auto" w:fill="auto"/>
            <w:vAlign w:val="center"/>
            <w:hideMark/>
          </w:tcPr>
          <w:p w:rsidR="00697969" w:rsidRPr="00697969" w:rsidRDefault="00697969" w:rsidP="00697969">
            <w:pPr>
              <w:spacing w:after="0" w:line="240" w:lineRule="auto"/>
              <w:rPr>
                <w:rFonts w:eastAsia="Times New Roman" w:cstheme="minorHAnsi"/>
                <w:color w:val="000000"/>
                <w:sz w:val="16"/>
                <w:szCs w:val="16"/>
              </w:rPr>
            </w:pPr>
            <w:r w:rsidRPr="00697969">
              <w:rPr>
                <w:rFonts w:eastAsia="Times New Roman" w:cstheme="minorHAnsi"/>
                <w:color w:val="000000"/>
                <w:sz w:val="16"/>
                <w:szCs w:val="16"/>
              </w:rPr>
              <w:t>Development</w:t>
            </w:r>
          </w:p>
        </w:tc>
        <w:tc>
          <w:tcPr>
            <w:tcW w:w="1413"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3,438,431,831</w:t>
            </w:r>
          </w:p>
        </w:tc>
        <w:tc>
          <w:tcPr>
            <w:tcW w:w="1413"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4,586,002,452</w:t>
            </w:r>
          </w:p>
        </w:tc>
        <w:tc>
          <w:tcPr>
            <w:tcW w:w="1272"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3,245,198,049</w:t>
            </w:r>
          </w:p>
        </w:tc>
        <w:tc>
          <w:tcPr>
            <w:tcW w:w="1273"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4,489,929,990</w:t>
            </w:r>
          </w:p>
        </w:tc>
        <w:tc>
          <w:tcPr>
            <w:tcW w:w="1273"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3,979,620,257</w:t>
            </w:r>
          </w:p>
        </w:tc>
        <w:tc>
          <w:tcPr>
            <w:tcW w:w="1151"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4,396,777,036</w:t>
            </w:r>
          </w:p>
        </w:tc>
        <w:tc>
          <w:tcPr>
            <w:tcW w:w="1268"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4,278,858,642</w:t>
            </w:r>
          </w:p>
        </w:tc>
        <w:tc>
          <w:tcPr>
            <w:tcW w:w="1151"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4,609,590,020</w:t>
            </w:r>
          </w:p>
        </w:tc>
        <w:tc>
          <w:tcPr>
            <w:tcW w:w="1151"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4,408,938,001</w:t>
            </w:r>
          </w:p>
        </w:tc>
        <w:tc>
          <w:tcPr>
            <w:tcW w:w="1270"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4,932,946,543</w:t>
            </w:r>
          </w:p>
        </w:tc>
      </w:tr>
      <w:tr w:rsidR="00697969" w:rsidRPr="00697969" w:rsidTr="00697969">
        <w:trPr>
          <w:trHeight w:val="397"/>
        </w:trPr>
        <w:tc>
          <w:tcPr>
            <w:tcW w:w="2097" w:type="dxa"/>
            <w:shd w:val="clear" w:color="auto" w:fill="auto"/>
            <w:vAlign w:val="center"/>
            <w:hideMark/>
          </w:tcPr>
          <w:p w:rsidR="00697969" w:rsidRPr="00697969" w:rsidRDefault="00697969" w:rsidP="00697969">
            <w:pPr>
              <w:spacing w:after="0" w:line="240" w:lineRule="auto"/>
              <w:rPr>
                <w:rFonts w:eastAsia="Times New Roman" w:cstheme="minorHAnsi"/>
                <w:i/>
                <w:iCs/>
                <w:color w:val="000000"/>
                <w:sz w:val="16"/>
                <w:szCs w:val="16"/>
              </w:rPr>
            </w:pPr>
            <w:r w:rsidRPr="00697969">
              <w:rPr>
                <w:rFonts w:eastAsia="Times New Roman" w:cstheme="minorHAnsi"/>
                <w:i/>
                <w:iCs/>
                <w:color w:val="000000"/>
                <w:sz w:val="16"/>
                <w:szCs w:val="16"/>
              </w:rPr>
              <w:t>Development as % of CG Total Revenue</w:t>
            </w:r>
          </w:p>
        </w:tc>
        <w:tc>
          <w:tcPr>
            <w:tcW w:w="1413" w:type="dxa"/>
            <w:shd w:val="clear" w:color="auto" w:fill="auto"/>
            <w:vAlign w:val="center"/>
            <w:hideMark/>
          </w:tcPr>
          <w:p w:rsidR="00697969" w:rsidRPr="00697969" w:rsidRDefault="00697969" w:rsidP="00697969">
            <w:pPr>
              <w:spacing w:after="0" w:line="240" w:lineRule="auto"/>
              <w:jc w:val="center"/>
              <w:rPr>
                <w:rFonts w:eastAsia="Times New Roman" w:cstheme="minorHAnsi"/>
                <w:i/>
                <w:iCs/>
                <w:color w:val="000000"/>
                <w:sz w:val="16"/>
                <w:szCs w:val="16"/>
              </w:rPr>
            </w:pPr>
            <w:r w:rsidRPr="00697969">
              <w:rPr>
                <w:rFonts w:eastAsia="Times New Roman" w:cstheme="minorHAnsi"/>
                <w:i/>
                <w:iCs/>
                <w:color w:val="000000"/>
                <w:sz w:val="16"/>
                <w:szCs w:val="16"/>
              </w:rPr>
              <w:t>41%</w:t>
            </w:r>
          </w:p>
        </w:tc>
        <w:tc>
          <w:tcPr>
            <w:tcW w:w="1413" w:type="dxa"/>
            <w:shd w:val="clear" w:color="auto" w:fill="auto"/>
            <w:vAlign w:val="center"/>
            <w:hideMark/>
          </w:tcPr>
          <w:p w:rsidR="00697969" w:rsidRPr="00697969" w:rsidRDefault="00697969" w:rsidP="00697969">
            <w:pPr>
              <w:spacing w:after="0" w:line="240" w:lineRule="auto"/>
              <w:jc w:val="center"/>
              <w:rPr>
                <w:rFonts w:eastAsia="Times New Roman" w:cstheme="minorHAnsi"/>
                <w:i/>
                <w:iCs/>
                <w:color w:val="000000"/>
                <w:sz w:val="16"/>
                <w:szCs w:val="16"/>
              </w:rPr>
            </w:pPr>
            <w:r w:rsidRPr="00697969">
              <w:rPr>
                <w:rFonts w:eastAsia="Times New Roman" w:cstheme="minorHAnsi"/>
                <w:i/>
                <w:iCs/>
                <w:color w:val="000000"/>
                <w:sz w:val="16"/>
                <w:szCs w:val="16"/>
              </w:rPr>
              <w:t>49%</w:t>
            </w:r>
          </w:p>
        </w:tc>
        <w:tc>
          <w:tcPr>
            <w:tcW w:w="1272" w:type="dxa"/>
            <w:shd w:val="clear" w:color="auto" w:fill="auto"/>
            <w:vAlign w:val="center"/>
            <w:hideMark/>
          </w:tcPr>
          <w:p w:rsidR="00697969" w:rsidRPr="00697969" w:rsidRDefault="00697969" w:rsidP="00697969">
            <w:pPr>
              <w:spacing w:after="0" w:line="240" w:lineRule="auto"/>
              <w:jc w:val="center"/>
              <w:rPr>
                <w:rFonts w:eastAsia="Times New Roman" w:cstheme="minorHAnsi"/>
                <w:i/>
                <w:iCs/>
                <w:color w:val="000000"/>
                <w:sz w:val="16"/>
                <w:szCs w:val="16"/>
              </w:rPr>
            </w:pPr>
            <w:r w:rsidRPr="00697969">
              <w:rPr>
                <w:rFonts w:eastAsia="Times New Roman" w:cstheme="minorHAnsi"/>
                <w:i/>
                <w:iCs/>
                <w:color w:val="000000"/>
                <w:sz w:val="16"/>
                <w:szCs w:val="16"/>
              </w:rPr>
              <w:t>43%</w:t>
            </w:r>
          </w:p>
        </w:tc>
        <w:tc>
          <w:tcPr>
            <w:tcW w:w="1273" w:type="dxa"/>
            <w:shd w:val="clear" w:color="auto" w:fill="auto"/>
            <w:vAlign w:val="center"/>
            <w:hideMark/>
          </w:tcPr>
          <w:p w:rsidR="00697969" w:rsidRPr="00697969" w:rsidRDefault="00697969" w:rsidP="00697969">
            <w:pPr>
              <w:spacing w:after="0" w:line="240" w:lineRule="auto"/>
              <w:jc w:val="center"/>
              <w:rPr>
                <w:rFonts w:eastAsia="Times New Roman" w:cstheme="minorHAnsi"/>
                <w:i/>
                <w:iCs/>
                <w:color w:val="000000"/>
                <w:sz w:val="16"/>
                <w:szCs w:val="16"/>
              </w:rPr>
            </w:pPr>
            <w:r w:rsidRPr="00697969">
              <w:rPr>
                <w:rFonts w:eastAsia="Times New Roman" w:cstheme="minorHAnsi"/>
                <w:i/>
                <w:iCs/>
                <w:color w:val="000000"/>
                <w:sz w:val="16"/>
                <w:szCs w:val="16"/>
              </w:rPr>
              <w:t>50%</w:t>
            </w:r>
          </w:p>
        </w:tc>
        <w:tc>
          <w:tcPr>
            <w:tcW w:w="1273" w:type="dxa"/>
            <w:shd w:val="clear" w:color="auto" w:fill="auto"/>
            <w:vAlign w:val="center"/>
            <w:hideMark/>
          </w:tcPr>
          <w:p w:rsidR="00697969" w:rsidRPr="00697969" w:rsidRDefault="00697969" w:rsidP="00697969">
            <w:pPr>
              <w:spacing w:after="0" w:line="240" w:lineRule="auto"/>
              <w:jc w:val="center"/>
              <w:rPr>
                <w:rFonts w:eastAsia="Times New Roman" w:cstheme="minorHAnsi"/>
                <w:i/>
                <w:iCs/>
                <w:color w:val="000000"/>
                <w:sz w:val="16"/>
                <w:szCs w:val="16"/>
              </w:rPr>
            </w:pPr>
            <w:r w:rsidRPr="00697969">
              <w:rPr>
                <w:rFonts w:eastAsia="Times New Roman" w:cstheme="minorHAnsi"/>
                <w:i/>
                <w:iCs/>
                <w:color w:val="000000"/>
                <w:sz w:val="16"/>
                <w:szCs w:val="16"/>
              </w:rPr>
              <w:t>47%</w:t>
            </w:r>
          </w:p>
        </w:tc>
        <w:tc>
          <w:tcPr>
            <w:tcW w:w="1151" w:type="dxa"/>
            <w:shd w:val="clear" w:color="auto" w:fill="auto"/>
            <w:vAlign w:val="center"/>
            <w:hideMark/>
          </w:tcPr>
          <w:p w:rsidR="00697969" w:rsidRPr="00697969" w:rsidRDefault="00697969" w:rsidP="00697969">
            <w:pPr>
              <w:spacing w:after="0" w:line="240" w:lineRule="auto"/>
              <w:jc w:val="center"/>
              <w:rPr>
                <w:rFonts w:eastAsia="Times New Roman" w:cstheme="minorHAnsi"/>
                <w:i/>
                <w:iCs/>
                <w:color w:val="000000"/>
                <w:sz w:val="16"/>
                <w:szCs w:val="16"/>
              </w:rPr>
            </w:pPr>
            <w:r w:rsidRPr="00697969">
              <w:rPr>
                <w:rFonts w:eastAsia="Times New Roman" w:cstheme="minorHAnsi"/>
                <w:i/>
                <w:iCs/>
                <w:color w:val="000000"/>
                <w:sz w:val="16"/>
                <w:szCs w:val="16"/>
              </w:rPr>
              <w:t>49%</w:t>
            </w:r>
          </w:p>
        </w:tc>
        <w:tc>
          <w:tcPr>
            <w:tcW w:w="1268" w:type="dxa"/>
            <w:shd w:val="clear" w:color="auto" w:fill="auto"/>
            <w:vAlign w:val="center"/>
            <w:hideMark/>
          </w:tcPr>
          <w:p w:rsidR="00697969" w:rsidRPr="00697969" w:rsidRDefault="00697969" w:rsidP="00697969">
            <w:pPr>
              <w:spacing w:after="0" w:line="240" w:lineRule="auto"/>
              <w:jc w:val="center"/>
              <w:rPr>
                <w:rFonts w:eastAsia="Times New Roman" w:cstheme="minorHAnsi"/>
                <w:i/>
                <w:iCs/>
                <w:color w:val="000000"/>
                <w:sz w:val="16"/>
                <w:szCs w:val="16"/>
              </w:rPr>
            </w:pPr>
            <w:r w:rsidRPr="00697969">
              <w:rPr>
                <w:rFonts w:eastAsia="Times New Roman" w:cstheme="minorHAnsi"/>
                <w:i/>
                <w:iCs/>
                <w:color w:val="000000"/>
                <w:sz w:val="16"/>
                <w:szCs w:val="16"/>
              </w:rPr>
              <w:t>48%</w:t>
            </w:r>
          </w:p>
        </w:tc>
        <w:tc>
          <w:tcPr>
            <w:tcW w:w="1151" w:type="dxa"/>
            <w:shd w:val="clear" w:color="auto" w:fill="auto"/>
            <w:vAlign w:val="center"/>
            <w:hideMark/>
          </w:tcPr>
          <w:p w:rsidR="00697969" w:rsidRPr="00697969" w:rsidRDefault="00697969" w:rsidP="00697969">
            <w:pPr>
              <w:spacing w:after="0" w:line="240" w:lineRule="auto"/>
              <w:jc w:val="center"/>
              <w:rPr>
                <w:rFonts w:eastAsia="Times New Roman" w:cstheme="minorHAnsi"/>
                <w:i/>
                <w:iCs/>
                <w:color w:val="000000"/>
                <w:sz w:val="16"/>
                <w:szCs w:val="16"/>
              </w:rPr>
            </w:pPr>
            <w:r w:rsidRPr="00697969">
              <w:rPr>
                <w:rFonts w:eastAsia="Times New Roman" w:cstheme="minorHAnsi"/>
                <w:i/>
                <w:iCs/>
                <w:color w:val="000000"/>
                <w:sz w:val="16"/>
                <w:szCs w:val="16"/>
              </w:rPr>
              <w:t>49%</w:t>
            </w:r>
          </w:p>
        </w:tc>
        <w:tc>
          <w:tcPr>
            <w:tcW w:w="1151" w:type="dxa"/>
            <w:shd w:val="clear" w:color="auto" w:fill="auto"/>
            <w:vAlign w:val="center"/>
            <w:hideMark/>
          </w:tcPr>
          <w:p w:rsidR="00697969" w:rsidRPr="00697969" w:rsidRDefault="00697969" w:rsidP="00697969">
            <w:pPr>
              <w:spacing w:after="0" w:line="240" w:lineRule="auto"/>
              <w:jc w:val="center"/>
              <w:rPr>
                <w:rFonts w:eastAsia="Times New Roman" w:cstheme="minorHAnsi"/>
                <w:i/>
                <w:iCs/>
                <w:color w:val="000000"/>
                <w:sz w:val="16"/>
                <w:szCs w:val="16"/>
              </w:rPr>
            </w:pPr>
            <w:r w:rsidRPr="00697969">
              <w:rPr>
                <w:rFonts w:eastAsia="Times New Roman" w:cstheme="minorHAnsi"/>
                <w:i/>
                <w:iCs/>
                <w:color w:val="000000"/>
                <w:sz w:val="16"/>
                <w:szCs w:val="16"/>
              </w:rPr>
              <w:t>48%</w:t>
            </w:r>
          </w:p>
        </w:tc>
        <w:tc>
          <w:tcPr>
            <w:tcW w:w="1270" w:type="dxa"/>
            <w:shd w:val="clear" w:color="auto" w:fill="auto"/>
            <w:vAlign w:val="center"/>
            <w:hideMark/>
          </w:tcPr>
          <w:p w:rsidR="00697969" w:rsidRPr="00697969" w:rsidRDefault="00697969" w:rsidP="00697969">
            <w:pPr>
              <w:spacing w:after="0" w:line="240" w:lineRule="auto"/>
              <w:jc w:val="center"/>
              <w:rPr>
                <w:rFonts w:eastAsia="Times New Roman" w:cstheme="minorHAnsi"/>
                <w:i/>
                <w:iCs/>
                <w:color w:val="000000"/>
                <w:sz w:val="16"/>
                <w:szCs w:val="16"/>
              </w:rPr>
            </w:pPr>
            <w:r w:rsidRPr="00697969">
              <w:rPr>
                <w:rFonts w:eastAsia="Times New Roman" w:cstheme="minorHAnsi"/>
                <w:i/>
                <w:iCs/>
                <w:color w:val="000000"/>
                <w:sz w:val="16"/>
                <w:szCs w:val="16"/>
              </w:rPr>
              <w:t>49%</w:t>
            </w:r>
          </w:p>
        </w:tc>
      </w:tr>
      <w:tr w:rsidR="00697969" w:rsidRPr="00697969" w:rsidTr="00697969">
        <w:trPr>
          <w:trHeight w:val="397"/>
        </w:trPr>
        <w:tc>
          <w:tcPr>
            <w:tcW w:w="2097" w:type="dxa"/>
            <w:shd w:val="clear" w:color="auto" w:fill="auto"/>
            <w:vAlign w:val="center"/>
            <w:hideMark/>
          </w:tcPr>
          <w:p w:rsidR="00697969" w:rsidRPr="00697969" w:rsidRDefault="00697969" w:rsidP="00697969">
            <w:pPr>
              <w:spacing w:after="0" w:line="240" w:lineRule="auto"/>
              <w:rPr>
                <w:rFonts w:eastAsia="Times New Roman" w:cstheme="minorHAnsi"/>
                <w:color w:val="000000"/>
                <w:sz w:val="16"/>
                <w:szCs w:val="16"/>
              </w:rPr>
            </w:pPr>
            <w:r w:rsidRPr="00697969">
              <w:rPr>
                <w:rFonts w:eastAsia="Times New Roman" w:cstheme="minorHAnsi"/>
                <w:color w:val="000000"/>
                <w:sz w:val="16"/>
                <w:szCs w:val="16"/>
              </w:rPr>
              <w:t>Pending bills</w:t>
            </w:r>
          </w:p>
        </w:tc>
        <w:tc>
          <w:tcPr>
            <w:tcW w:w="1413"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600,418,788</w:t>
            </w:r>
          </w:p>
        </w:tc>
        <w:tc>
          <w:tcPr>
            <w:tcW w:w="1413" w:type="dxa"/>
            <w:shd w:val="clear" w:color="auto" w:fill="auto"/>
            <w:vAlign w:val="center"/>
            <w:hideMark/>
          </w:tcPr>
          <w:p w:rsidR="00697969" w:rsidRPr="00697969" w:rsidRDefault="00697969" w:rsidP="00697969">
            <w:pPr>
              <w:spacing w:after="0" w:line="240" w:lineRule="auto"/>
              <w:jc w:val="center"/>
              <w:rPr>
                <w:rFonts w:eastAsia="Times New Roman" w:cstheme="minorHAnsi"/>
                <w:i/>
                <w:iCs/>
                <w:color w:val="000000"/>
                <w:sz w:val="16"/>
                <w:szCs w:val="16"/>
              </w:rPr>
            </w:pPr>
            <w:r w:rsidRPr="00697969">
              <w:rPr>
                <w:rFonts w:eastAsia="Times New Roman" w:cstheme="minorHAnsi"/>
                <w:i/>
                <w:iCs/>
                <w:color w:val="000000"/>
                <w:sz w:val="16"/>
                <w:szCs w:val="16"/>
              </w:rPr>
              <w:t> </w:t>
            </w:r>
          </w:p>
        </w:tc>
        <w:tc>
          <w:tcPr>
            <w:tcW w:w="1272"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755,763,127</w:t>
            </w:r>
          </w:p>
        </w:tc>
        <w:tc>
          <w:tcPr>
            <w:tcW w:w="1273"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173,602,808</w:t>
            </w:r>
          </w:p>
        </w:tc>
        <w:tc>
          <w:tcPr>
            <w:tcW w:w="1273" w:type="dxa"/>
            <w:shd w:val="clear" w:color="auto" w:fill="auto"/>
            <w:vAlign w:val="center"/>
            <w:hideMark/>
          </w:tcPr>
          <w:p w:rsidR="00697969" w:rsidRPr="00697969" w:rsidRDefault="00697969" w:rsidP="00697969">
            <w:pPr>
              <w:spacing w:after="0" w:line="240" w:lineRule="auto"/>
              <w:jc w:val="center"/>
              <w:rPr>
                <w:rFonts w:eastAsia="Times New Roman" w:cstheme="minorHAnsi"/>
                <w:i/>
                <w:iCs/>
                <w:color w:val="000000"/>
                <w:sz w:val="16"/>
                <w:szCs w:val="16"/>
              </w:rPr>
            </w:pPr>
            <w:r w:rsidRPr="00697969">
              <w:rPr>
                <w:rFonts w:eastAsia="Times New Roman" w:cstheme="minorHAnsi"/>
                <w:i/>
                <w:iCs/>
                <w:color w:val="000000"/>
                <w:sz w:val="16"/>
                <w:szCs w:val="16"/>
              </w:rPr>
              <w:t> </w:t>
            </w:r>
          </w:p>
        </w:tc>
        <w:tc>
          <w:tcPr>
            <w:tcW w:w="1151" w:type="dxa"/>
            <w:shd w:val="clear" w:color="auto" w:fill="auto"/>
            <w:vAlign w:val="center"/>
            <w:hideMark/>
          </w:tcPr>
          <w:p w:rsidR="00697969" w:rsidRPr="00697969" w:rsidRDefault="00697969" w:rsidP="00697969">
            <w:pPr>
              <w:spacing w:after="0" w:line="240" w:lineRule="auto"/>
              <w:jc w:val="center"/>
              <w:rPr>
                <w:rFonts w:eastAsia="Times New Roman" w:cstheme="minorHAnsi"/>
                <w:i/>
                <w:iCs/>
                <w:color w:val="000000"/>
                <w:sz w:val="16"/>
                <w:szCs w:val="16"/>
              </w:rPr>
            </w:pPr>
            <w:r w:rsidRPr="00697969">
              <w:rPr>
                <w:rFonts w:eastAsia="Times New Roman" w:cstheme="minorHAnsi"/>
                <w:i/>
                <w:iCs/>
                <w:color w:val="000000"/>
                <w:sz w:val="16"/>
                <w:szCs w:val="16"/>
              </w:rPr>
              <w:t> </w:t>
            </w:r>
          </w:p>
        </w:tc>
        <w:tc>
          <w:tcPr>
            <w:tcW w:w="1268" w:type="dxa"/>
            <w:shd w:val="clear" w:color="auto" w:fill="auto"/>
            <w:vAlign w:val="center"/>
            <w:hideMark/>
          </w:tcPr>
          <w:p w:rsidR="00697969" w:rsidRPr="00697969" w:rsidRDefault="00697969" w:rsidP="00697969">
            <w:pPr>
              <w:spacing w:after="0" w:line="240" w:lineRule="auto"/>
              <w:jc w:val="center"/>
              <w:rPr>
                <w:rFonts w:eastAsia="Times New Roman" w:cstheme="minorHAnsi"/>
                <w:i/>
                <w:iCs/>
                <w:color w:val="000000"/>
                <w:sz w:val="16"/>
                <w:szCs w:val="16"/>
              </w:rPr>
            </w:pPr>
            <w:r w:rsidRPr="00697969">
              <w:rPr>
                <w:rFonts w:eastAsia="Times New Roman" w:cstheme="minorHAnsi"/>
                <w:i/>
                <w:iCs/>
                <w:color w:val="000000"/>
                <w:sz w:val="16"/>
                <w:szCs w:val="16"/>
              </w:rPr>
              <w:t> </w:t>
            </w:r>
          </w:p>
        </w:tc>
        <w:tc>
          <w:tcPr>
            <w:tcW w:w="1151" w:type="dxa"/>
            <w:shd w:val="clear" w:color="auto" w:fill="auto"/>
            <w:vAlign w:val="center"/>
            <w:hideMark/>
          </w:tcPr>
          <w:p w:rsidR="00697969" w:rsidRPr="00697969" w:rsidRDefault="00697969" w:rsidP="00697969">
            <w:pPr>
              <w:spacing w:after="0" w:line="240" w:lineRule="auto"/>
              <w:jc w:val="center"/>
              <w:rPr>
                <w:rFonts w:eastAsia="Times New Roman" w:cstheme="minorHAnsi"/>
                <w:i/>
                <w:iCs/>
                <w:color w:val="000000"/>
                <w:sz w:val="16"/>
                <w:szCs w:val="16"/>
              </w:rPr>
            </w:pPr>
            <w:r w:rsidRPr="00697969">
              <w:rPr>
                <w:rFonts w:eastAsia="Times New Roman" w:cstheme="minorHAnsi"/>
                <w:i/>
                <w:iCs/>
                <w:color w:val="000000"/>
                <w:sz w:val="16"/>
                <w:szCs w:val="16"/>
              </w:rPr>
              <w:t> </w:t>
            </w:r>
          </w:p>
        </w:tc>
        <w:tc>
          <w:tcPr>
            <w:tcW w:w="1151" w:type="dxa"/>
            <w:shd w:val="clear" w:color="auto" w:fill="auto"/>
            <w:vAlign w:val="center"/>
            <w:hideMark/>
          </w:tcPr>
          <w:p w:rsidR="00697969" w:rsidRPr="00697969" w:rsidRDefault="00697969" w:rsidP="00697969">
            <w:pPr>
              <w:spacing w:after="0" w:line="240" w:lineRule="auto"/>
              <w:jc w:val="center"/>
              <w:rPr>
                <w:rFonts w:eastAsia="Times New Roman" w:cstheme="minorHAnsi"/>
                <w:i/>
                <w:iCs/>
                <w:color w:val="000000"/>
                <w:sz w:val="16"/>
                <w:szCs w:val="16"/>
              </w:rPr>
            </w:pPr>
            <w:r w:rsidRPr="00697969">
              <w:rPr>
                <w:rFonts w:eastAsia="Times New Roman" w:cstheme="minorHAnsi"/>
                <w:i/>
                <w:iCs/>
                <w:color w:val="000000"/>
                <w:sz w:val="16"/>
                <w:szCs w:val="16"/>
              </w:rPr>
              <w:t> </w:t>
            </w:r>
          </w:p>
        </w:tc>
        <w:tc>
          <w:tcPr>
            <w:tcW w:w="1270" w:type="dxa"/>
            <w:shd w:val="clear" w:color="auto" w:fill="auto"/>
            <w:vAlign w:val="center"/>
            <w:hideMark/>
          </w:tcPr>
          <w:p w:rsidR="00697969" w:rsidRPr="00697969" w:rsidRDefault="00697969" w:rsidP="00697969">
            <w:pPr>
              <w:spacing w:after="0" w:line="240" w:lineRule="auto"/>
              <w:jc w:val="center"/>
              <w:rPr>
                <w:rFonts w:eastAsia="Times New Roman" w:cstheme="minorHAnsi"/>
                <w:i/>
                <w:iCs/>
                <w:color w:val="000000"/>
                <w:sz w:val="16"/>
                <w:szCs w:val="16"/>
              </w:rPr>
            </w:pPr>
            <w:r w:rsidRPr="00697969">
              <w:rPr>
                <w:rFonts w:eastAsia="Times New Roman" w:cstheme="minorHAnsi"/>
                <w:i/>
                <w:iCs/>
                <w:color w:val="000000"/>
                <w:sz w:val="16"/>
                <w:szCs w:val="16"/>
              </w:rPr>
              <w:t> </w:t>
            </w:r>
          </w:p>
        </w:tc>
      </w:tr>
      <w:tr w:rsidR="00697969" w:rsidRPr="00697969" w:rsidTr="00697969">
        <w:trPr>
          <w:trHeight w:val="397"/>
        </w:trPr>
        <w:tc>
          <w:tcPr>
            <w:tcW w:w="2097" w:type="dxa"/>
            <w:shd w:val="clear" w:color="auto" w:fill="auto"/>
            <w:vAlign w:val="center"/>
            <w:hideMark/>
          </w:tcPr>
          <w:p w:rsidR="00697969" w:rsidRPr="00697969" w:rsidRDefault="00697969" w:rsidP="00697969">
            <w:pPr>
              <w:spacing w:after="0" w:line="240" w:lineRule="auto"/>
              <w:rPr>
                <w:rFonts w:eastAsia="Times New Roman" w:cstheme="minorHAnsi"/>
                <w:color w:val="000000"/>
                <w:sz w:val="16"/>
                <w:szCs w:val="16"/>
              </w:rPr>
            </w:pPr>
            <w:r w:rsidRPr="00697969">
              <w:rPr>
                <w:rFonts w:eastAsia="Times New Roman" w:cstheme="minorHAnsi"/>
                <w:color w:val="000000"/>
                <w:sz w:val="16"/>
                <w:szCs w:val="16"/>
              </w:rPr>
              <w:t>Unspent Bal Current FY</w:t>
            </w:r>
          </w:p>
        </w:tc>
        <w:tc>
          <w:tcPr>
            <w:tcW w:w="1413"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576,376,950</w:t>
            </w:r>
          </w:p>
        </w:tc>
        <w:tc>
          <w:tcPr>
            <w:tcW w:w="1413"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 </w:t>
            </w:r>
          </w:p>
        </w:tc>
        <w:tc>
          <w:tcPr>
            <w:tcW w:w="1272"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582,160,319</w:t>
            </w:r>
          </w:p>
        </w:tc>
        <w:tc>
          <w:tcPr>
            <w:tcW w:w="1273"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 </w:t>
            </w:r>
          </w:p>
        </w:tc>
        <w:tc>
          <w:tcPr>
            <w:tcW w:w="1273"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 </w:t>
            </w:r>
          </w:p>
        </w:tc>
        <w:tc>
          <w:tcPr>
            <w:tcW w:w="1151"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 </w:t>
            </w:r>
          </w:p>
        </w:tc>
        <w:tc>
          <w:tcPr>
            <w:tcW w:w="1268"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 </w:t>
            </w:r>
          </w:p>
        </w:tc>
        <w:tc>
          <w:tcPr>
            <w:tcW w:w="1151"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 </w:t>
            </w:r>
          </w:p>
        </w:tc>
        <w:tc>
          <w:tcPr>
            <w:tcW w:w="1151"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 </w:t>
            </w:r>
          </w:p>
        </w:tc>
        <w:tc>
          <w:tcPr>
            <w:tcW w:w="1270" w:type="dxa"/>
            <w:shd w:val="clear" w:color="auto" w:fill="auto"/>
            <w:vAlign w:val="center"/>
            <w:hideMark/>
          </w:tcPr>
          <w:p w:rsidR="00697969" w:rsidRPr="00697969" w:rsidRDefault="00697969" w:rsidP="00697969">
            <w:pPr>
              <w:spacing w:after="0" w:line="240" w:lineRule="auto"/>
              <w:jc w:val="right"/>
              <w:rPr>
                <w:rFonts w:eastAsia="Times New Roman" w:cstheme="minorHAnsi"/>
                <w:color w:val="000000"/>
                <w:sz w:val="16"/>
                <w:szCs w:val="16"/>
              </w:rPr>
            </w:pPr>
            <w:r w:rsidRPr="00697969">
              <w:rPr>
                <w:rFonts w:eastAsia="Times New Roman" w:cstheme="minorHAnsi"/>
                <w:color w:val="000000"/>
                <w:sz w:val="16"/>
                <w:szCs w:val="16"/>
              </w:rPr>
              <w:t> </w:t>
            </w:r>
          </w:p>
        </w:tc>
      </w:tr>
    </w:tbl>
    <w:p w:rsidR="00AF7081" w:rsidRDefault="00AF7081" w:rsidP="00B0228A">
      <w:pPr>
        <w:spacing w:before="15" w:after="157" w:line="277" w:lineRule="exact"/>
        <w:rPr>
          <w:rFonts w:cstheme="minorHAnsi"/>
          <w:b/>
          <w:bCs/>
          <w:spacing w:val="2"/>
          <w:sz w:val="23"/>
          <w:szCs w:val="23"/>
        </w:rPr>
      </w:pPr>
    </w:p>
    <w:p w:rsidR="00CB19CD" w:rsidRPr="00C4418D" w:rsidRDefault="00CB19CD" w:rsidP="004235F0">
      <w:pPr>
        <w:rPr>
          <w:rFonts w:cstheme="minorHAnsi"/>
          <w:sz w:val="24"/>
          <w:szCs w:val="24"/>
        </w:rPr>
      </w:pPr>
    </w:p>
    <w:p w:rsidR="00CB19CD" w:rsidRPr="00C4418D" w:rsidRDefault="00CB19CD" w:rsidP="004235F0">
      <w:pPr>
        <w:rPr>
          <w:rFonts w:cstheme="minorHAnsi"/>
          <w:sz w:val="24"/>
          <w:szCs w:val="24"/>
        </w:rPr>
        <w:sectPr w:rsidR="00CB19CD" w:rsidRPr="00C4418D" w:rsidSect="00CB19CD">
          <w:pgSz w:w="16839" w:h="11907" w:orient="landscape" w:code="9"/>
          <w:pgMar w:top="1440" w:right="1440" w:bottom="1440" w:left="1440" w:header="720" w:footer="720" w:gutter="0"/>
          <w:cols w:space="720"/>
          <w:docGrid w:linePitch="360"/>
        </w:sectPr>
      </w:pPr>
    </w:p>
    <w:p w:rsidR="002C0AAE" w:rsidRPr="001154EB" w:rsidRDefault="002C0AAE" w:rsidP="001154EB">
      <w:pPr>
        <w:pStyle w:val="Heading1"/>
        <w:numPr>
          <w:ilvl w:val="0"/>
          <w:numId w:val="43"/>
        </w:numPr>
        <w:pBdr>
          <w:bottom w:val="single" w:sz="4" w:space="1" w:color="auto"/>
        </w:pBdr>
        <w:spacing w:after="240"/>
        <w:ind w:hanging="720"/>
        <w:rPr>
          <w:color w:val="auto"/>
        </w:rPr>
      </w:pPr>
      <w:bookmarkStart w:id="30" w:name="_Toc525549622"/>
      <w:r w:rsidRPr="001154EB">
        <w:rPr>
          <w:color w:val="auto"/>
        </w:rPr>
        <w:t>RECENT ECONOMIC DEVELOPMENTS AND OUTLOOK</w:t>
      </w:r>
      <w:bookmarkEnd w:id="30"/>
    </w:p>
    <w:p w:rsidR="00661EB4" w:rsidRPr="00A878B9" w:rsidRDefault="00661EB4" w:rsidP="00A878B9">
      <w:pPr>
        <w:pStyle w:val="Default"/>
        <w:spacing w:after="200" w:line="276" w:lineRule="auto"/>
        <w:contextualSpacing/>
        <w:rPr>
          <w:rFonts w:asciiTheme="minorHAnsi" w:hAnsiTheme="minorHAnsi" w:cstheme="minorHAnsi"/>
          <w:color w:val="auto"/>
        </w:rPr>
      </w:pPr>
      <w:r w:rsidRPr="00A878B9">
        <w:rPr>
          <w:rFonts w:asciiTheme="minorHAnsi" w:hAnsiTheme="minorHAnsi" w:cstheme="minorHAnsi"/>
          <w:color w:val="auto"/>
        </w:rPr>
        <w:t>This section presents Recent Economic Developments; Medium Term Fiscal Framework; and Risks to the Outlook. Its purpose is to turn the attention from the past to the present time and the immediate future. In this section, the county government discusses its assessment of the prospects for growth after analyzing the recent economic events and circumstances.</w:t>
      </w:r>
    </w:p>
    <w:p w:rsidR="0092767E" w:rsidRPr="0092767E" w:rsidRDefault="0092767E" w:rsidP="0092767E">
      <w:pPr>
        <w:pStyle w:val="ListParagraph"/>
        <w:numPr>
          <w:ilvl w:val="0"/>
          <w:numId w:val="36"/>
        </w:numPr>
        <w:rPr>
          <w:rFonts w:asciiTheme="majorHAnsi" w:hAnsiTheme="majorHAnsi" w:cstheme="minorHAnsi"/>
          <w:b/>
          <w:vanish/>
          <w:sz w:val="24"/>
          <w:szCs w:val="24"/>
        </w:rPr>
      </w:pPr>
    </w:p>
    <w:p w:rsidR="0092767E" w:rsidRPr="0092767E" w:rsidRDefault="0092767E" w:rsidP="0092767E">
      <w:pPr>
        <w:pStyle w:val="ListParagraph"/>
        <w:numPr>
          <w:ilvl w:val="0"/>
          <w:numId w:val="36"/>
        </w:numPr>
        <w:rPr>
          <w:rFonts w:asciiTheme="majorHAnsi" w:hAnsiTheme="majorHAnsi" w:cstheme="minorHAnsi"/>
          <w:b/>
          <w:vanish/>
          <w:sz w:val="24"/>
          <w:szCs w:val="24"/>
        </w:rPr>
      </w:pPr>
    </w:p>
    <w:p w:rsidR="00661EB4" w:rsidRPr="00EF4D55" w:rsidRDefault="00661EB4" w:rsidP="0092767E">
      <w:pPr>
        <w:pStyle w:val="Style1"/>
      </w:pPr>
      <w:r w:rsidRPr="00EF4D55">
        <w:t>Recent Economic Developments</w:t>
      </w:r>
    </w:p>
    <w:p w:rsidR="00C06AAF" w:rsidRPr="00C06AAF" w:rsidRDefault="00C06AAF" w:rsidP="00C06AAF">
      <w:pPr>
        <w:pStyle w:val="Default"/>
        <w:spacing w:after="200" w:line="276" w:lineRule="auto"/>
        <w:contextualSpacing/>
        <w:rPr>
          <w:rFonts w:asciiTheme="minorHAnsi" w:hAnsiTheme="minorHAnsi" w:cstheme="minorHAnsi"/>
          <w:color w:val="auto"/>
        </w:rPr>
      </w:pPr>
      <w:r w:rsidRPr="00C06AAF">
        <w:rPr>
          <w:rFonts w:asciiTheme="minorHAnsi" w:hAnsiTheme="minorHAnsi" w:cstheme="minorHAnsi"/>
          <w:color w:val="auto"/>
        </w:rPr>
        <w:t>The Kenyan economy contracted by 0.3 percent in 2020 compared to a growth of 5.0 percent in 2019. This performance reflects the adverse effects of the COVID19 pandemic, which disrupted activities in Wholesale and Retail Trade, Education, Accommodation and Restaurant and, Transport and Storage sectors. The economy is expected to rebound to 6.0 percent in 2021, due to a stronger global demand and recovery in Service and Manufacturing sectors.</w:t>
      </w:r>
    </w:p>
    <w:p w:rsidR="00C06AAF" w:rsidRPr="004E5AA9" w:rsidRDefault="00C06AAF" w:rsidP="00C06AAF">
      <w:pPr>
        <w:pStyle w:val="Default"/>
        <w:spacing w:line="26" w:lineRule="atLeast"/>
        <w:jc w:val="both"/>
        <w:rPr>
          <w:rFonts w:ascii="Gill Sans MT" w:hAnsi="Gill Sans MT" w:cstheme="minorHAnsi"/>
        </w:rPr>
      </w:pPr>
    </w:p>
    <w:p w:rsidR="00C06AAF" w:rsidRPr="00C06AAF" w:rsidRDefault="00C06AAF" w:rsidP="00C06AAF">
      <w:pPr>
        <w:pStyle w:val="Default"/>
        <w:spacing w:after="200" w:line="276" w:lineRule="auto"/>
        <w:contextualSpacing/>
        <w:rPr>
          <w:rFonts w:asciiTheme="minorHAnsi" w:hAnsiTheme="minorHAnsi" w:cstheme="minorHAnsi"/>
          <w:color w:val="auto"/>
        </w:rPr>
      </w:pPr>
      <w:r w:rsidRPr="00C06AAF">
        <w:rPr>
          <w:rFonts w:asciiTheme="minorHAnsi" w:hAnsiTheme="minorHAnsi" w:cstheme="minorHAnsi"/>
          <w:color w:val="auto"/>
        </w:rPr>
        <w:t xml:space="preserve">The economy continues to register macroeconomic stability with low and stable inflation and interest rates, and a competitive exchange rate that support exports. Year-on-year overall inflation rate has remained low, stable and within the policy target range of 5+/-2.5 percent since the end of 2017. The year-on-year inflation rate increased to 6.45 percent in October 2021 from 4.84 percent in October 2020 driven by increased food and fuel prices. The foreign exchange market has largely remained stable despite the tight global financial conditions attributed to uncertainty due to the COVID-19 pandemic. The Kenya Shilling to the US Dollar exchanged at </w:t>
      </w:r>
      <w:proofErr w:type="spellStart"/>
      <w:r w:rsidRPr="00C06AAF">
        <w:rPr>
          <w:rFonts w:asciiTheme="minorHAnsi" w:hAnsiTheme="minorHAnsi" w:cstheme="minorHAnsi"/>
          <w:color w:val="auto"/>
        </w:rPr>
        <w:t>Ksh</w:t>
      </w:r>
      <w:proofErr w:type="spellEnd"/>
      <w:r w:rsidRPr="00C06AAF">
        <w:rPr>
          <w:rFonts w:asciiTheme="minorHAnsi" w:hAnsiTheme="minorHAnsi" w:cstheme="minorHAnsi"/>
          <w:color w:val="auto"/>
        </w:rPr>
        <w:t xml:space="preserve"> 110.9 in October 2021 compared to </w:t>
      </w:r>
      <w:proofErr w:type="spellStart"/>
      <w:r w:rsidRPr="00C06AAF">
        <w:rPr>
          <w:rFonts w:asciiTheme="minorHAnsi" w:hAnsiTheme="minorHAnsi" w:cstheme="minorHAnsi"/>
          <w:color w:val="auto"/>
        </w:rPr>
        <w:t>Ksh</w:t>
      </w:r>
      <w:proofErr w:type="spellEnd"/>
      <w:r w:rsidRPr="00C06AAF">
        <w:rPr>
          <w:rFonts w:asciiTheme="minorHAnsi" w:hAnsiTheme="minorHAnsi" w:cstheme="minorHAnsi"/>
          <w:color w:val="auto"/>
        </w:rPr>
        <w:t xml:space="preserve"> 108.6 in October 2020. </w:t>
      </w:r>
    </w:p>
    <w:p w:rsidR="00C06AAF" w:rsidRPr="004E5AA9" w:rsidRDefault="00C06AAF" w:rsidP="00C06AAF">
      <w:pPr>
        <w:pStyle w:val="Default"/>
        <w:spacing w:line="26" w:lineRule="atLeast"/>
        <w:jc w:val="both"/>
        <w:rPr>
          <w:rFonts w:ascii="Gill Sans MT" w:hAnsi="Gill Sans MT" w:cstheme="minorHAnsi"/>
        </w:rPr>
      </w:pPr>
    </w:p>
    <w:p w:rsidR="00C06AAF" w:rsidRPr="00C06AAF" w:rsidRDefault="00C06AAF" w:rsidP="00C06AAF">
      <w:pPr>
        <w:pStyle w:val="Default"/>
        <w:spacing w:after="200" w:line="276" w:lineRule="auto"/>
        <w:contextualSpacing/>
        <w:rPr>
          <w:rFonts w:asciiTheme="minorHAnsi" w:hAnsiTheme="minorHAnsi" w:cstheme="minorHAnsi"/>
          <w:color w:val="auto"/>
        </w:rPr>
      </w:pPr>
      <w:r w:rsidRPr="00C06AAF">
        <w:rPr>
          <w:rFonts w:asciiTheme="minorHAnsi" w:hAnsiTheme="minorHAnsi" w:cstheme="minorHAnsi"/>
          <w:color w:val="auto"/>
        </w:rPr>
        <w:t>Kenya’s economy is projected to rebound to 6.0 percent in 2021. The recovery in 2021 is on account of the reopening of the economy which is expected to increase economic activities and also partly reflects lower base of 2020 when most service sectors were adversely affected by the closure of the economy thereby recording negative growths.</w:t>
      </w:r>
    </w:p>
    <w:p w:rsidR="00C06AAF" w:rsidRPr="00C06AAF" w:rsidRDefault="00C06AAF" w:rsidP="00C06AAF">
      <w:pPr>
        <w:pStyle w:val="Default"/>
        <w:spacing w:after="200" w:line="276" w:lineRule="auto"/>
        <w:contextualSpacing/>
        <w:rPr>
          <w:rFonts w:asciiTheme="minorHAnsi" w:hAnsiTheme="minorHAnsi" w:cstheme="minorHAnsi"/>
          <w:color w:val="auto"/>
        </w:rPr>
      </w:pPr>
    </w:p>
    <w:p w:rsidR="00C06AAF" w:rsidRPr="00C06AAF" w:rsidRDefault="00C06AAF" w:rsidP="00C06AAF">
      <w:pPr>
        <w:pStyle w:val="Default"/>
        <w:spacing w:after="200" w:line="276" w:lineRule="auto"/>
        <w:contextualSpacing/>
        <w:rPr>
          <w:rFonts w:asciiTheme="minorHAnsi" w:hAnsiTheme="minorHAnsi" w:cstheme="minorHAnsi"/>
          <w:color w:val="auto"/>
        </w:rPr>
      </w:pPr>
      <w:r w:rsidRPr="00C06AAF">
        <w:rPr>
          <w:rFonts w:asciiTheme="minorHAnsi" w:hAnsiTheme="minorHAnsi" w:cstheme="minorHAnsi"/>
          <w:color w:val="auto"/>
        </w:rPr>
        <w:t xml:space="preserve">Kenya’s economy rebounded strongly in the second quarter of 2021, with real GDP growing 10.1 percent supported by easing of COVID-19 containment measures. Economic growth is projected at 6.0 percent in 2021 from the contraction of 0.3 percent in 2020. This translates to a growth of 5.9 percent in FY 2021/22 from 2.9 percent in FY 2020/21. The economic recovery reflects improved business environment after easing of COVID-19 restrictions and is supported by the prevailing stable macroeconomic environment, ongoing implementation of the strategic priorities of the Government under the “Big Four” Agenda and the implementation of the third Economic Stimulus </w:t>
      </w:r>
      <w:proofErr w:type="spellStart"/>
      <w:r w:rsidRPr="00C06AAF">
        <w:rPr>
          <w:rFonts w:asciiTheme="minorHAnsi" w:hAnsiTheme="minorHAnsi" w:cstheme="minorHAnsi"/>
          <w:color w:val="auto"/>
        </w:rPr>
        <w:t>Programme</w:t>
      </w:r>
      <w:proofErr w:type="spellEnd"/>
      <w:r w:rsidRPr="00C06AAF">
        <w:rPr>
          <w:rFonts w:asciiTheme="minorHAnsi" w:hAnsiTheme="minorHAnsi" w:cstheme="minorHAnsi"/>
          <w:color w:val="auto"/>
        </w:rPr>
        <w:t>.</w:t>
      </w:r>
    </w:p>
    <w:p w:rsidR="00C06AAF" w:rsidRPr="004E5AA9" w:rsidRDefault="00C06AAF" w:rsidP="00C06AAF">
      <w:pPr>
        <w:pStyle w:val="Default"/>
        <w:spacing w:line="26" w:lineRule="atLeast"/>
        <w:contextualSpacing/>
        <w:jc w:val="both"/>
        <w:rPr>
          <w:rFonts w:ascii="Gill Sans MT" w:hAnsi="Gill Sans MT" w:cstheme="minorHAnsi"/>
        </w:rPr>
      </w:pPr>
    </w:p>
    <w:p w:rsidR="00C06AAF" w:rsidRPr="00C06AAF" w:rsidRDefault="00C06AAF" w:rsidP="00C06AAF">
      <w:pPr>
        <w:pStyle w:val="Default"/>
        <w:spacing w:after="200" w:line="276" w:lineRule="auto"/>
        <w:contextualSpacing/>
        <w:rPr>
          <w:rFonts w:asciiTheme="minorHAnsi" w:hAnsiTheme="minorHAnsi" w:cstheme="minorHAnsi"/>
          <w:color w:val="auto"/>
        </w:rPr>
      </w:pPr>
      <w:r w:rsidRPr="00C06AAF">
        <w:rPr>
          <w:rFonts w:asciiTheme="minorHAnsi" w:hAnsiTheme="minorHAnsi" w:cstheme="minorHAnsi"/>
          <w:color w:val="auto"/>
        </w:rPr>
        <w:t xml:space="preserve">In </w:t>
      </w:r>
      <w:proofErr w:type="spellStart"/>
      <w:r w:rsidRPr="00C06AAF">
        <w:rPr>
          <w:rFonts w:asciiTheme="minorHAnsi" w:hAnsiTheme="minorHAnsi" w:cstheme="minorHAnsi"/>
          <w:color w:val="auto"/>
        </w:rPr>
        <w:t>Marsabit</w:t>
      </w:r>
      <w:proofErr w:type="spellEnd"/>
      <w:r w:rsidRPr="00C06AAF">
        <w:rPr>
          <w:rFonts w:asciiTheme="minorHAnsi" w:hAnsiTheme="minorHAnsi" w:cstheme="minorHAnsi"/>
          <w:color w:val="auto"/>
        </w:rPr>
        <w:t xml:space="preserve"> County, the business environment is slowly recovering from the electioneering and post-election aftermath. There was significant delay in disbursement of funds in financial year 2017/18 as well as current financial year (FY 2018/19), which has affected the operations in the county. The development budget has not been funded as expected and has greatly affected development interventions. This has had negative multiplier effect in the county development. The County Government has developed strategies and better policy framework to accelerate economic growth in different sectors to increase the capacity of the county for better service delivery. In the FY 2017/18, the county came up with ward-based projects (317 community based projects), which are at various stages of implementation of which most of it have been completed. This is expected to peak later in FY 2018/19 and be the basis for planning in FY 2019/20 MTEF. Further, the county is also working to expeditiously expand local revenue generation streams by targeting the potential in land rates, parking fees, extractive resources, </w:t>
      </w:r>
      <w:proofErr w:type="spellStart"/>
      <w:r w:rsidRPr="00C06AAF">
        <w:rPr>
          <w:rFonts w:asciiTheme="minorHAnsi" w:hAnsiTheme="minorHAnsi" w:cstheme="minorHAnsi"/>
          <w:color w:val="auto"/>
        </w:rPr>
        <w:t>cess</w:t>
      </w:r>
      <w:proofErr w:type="spellEnd"/>
      <w:r w:rsidRPr="00C06AAF">
        <w:rPr>
          <w:rFonts w:asciiTheme="minorHAnsi" w:hAnsiTheme="minorHAnsi" w:cstheme="minorHAnsi"/>
          <w:color w:val="auto"/>
        </w:rPr>
        <w:t xml:space="preserve">, livestock yards fees and water tariffs and automation of revenue collection systems to increase own source revenue and capacity to provide more impactful interventions due to increased resource availability. </w:t>
      </w:r>
    </w:p>
    <w:p w:rsidR="00545BD4" w:rsidRPr="0092767E" w:rsidRDefault="00545BD4" w:rsidP="0092767E">
      <w:pPr>
        <w:pStyle w:val="Style1"/>
        <w:ind w:left="630" w:hanging="630"/>
      </w:pPr>
      <w:r w:rsidRPr="0092767E">
        <w:t>County Economic Outlook and Policies</w:t>
      </w:r>
    </w:p>
    <w:p w:rsidR="000622C7" w:rsidRPr="00AE35CF" w:rsidRDefault="00857BB4" w:rsidP="00CB060C">
      <w:pPr>
        <w:pStyle w:val="Default"/>
        <w:spacing w:after="200" w:line="276" w:lineRule="auto"/>
        <w:contextualSpacing/>
        <w:rPr>
          <w:rFonts w:asciiTheme="minorHAnsi" w:hAnsiTheme="minorHAnsi" w:cstheme="minorHAnsi"/>
          <w:color w:val="auto"/>
        </w:rPr>
      </w:pPr>
      <w:r w:rsidRPr="00AE35CF">
        <w:rPr>
          <w:rFonts w:asciiTheme="minorHAnsi" w:hAnsiTheme="minorHAnsi" w:cstheme="minorHAnsi"/>
          <w:color w:val="auto"/>
        </w:rPr>
        <w:t>The growing national economy is expected to lead to enhanced revenue performance. This will mean increased allocations to the county by Commission of Revenue Allocation thus having implication on the implementation of strategic interventions.</w:t>
      </w:r>
    </w:p>
    <w:p w:rsidR="00D54898" w:rsidRPr="00AE35CF" w:rsidRDefault="00D54898" w:rsidP="00CB060C">
      <w:pPr>
        <w:pStyle w:val="Default"/>
        <w:spacing w:after="200" w:line="276" w:lineRule="auto"/>
        <w:contextualSpacing/>
        <w:rPr>
          <w:rFonts w:asciiTheme="minorHAnsi" w:hAnsiTheme="minorHAnsi" w:cstheme="minorHAnsi"/>
          <w:color w:val="auto"/>
        </w:rPr>
      </w:pPr>
    </w:p>
    <w:p w:rsidR="000F59A7" w:rsidRDefault="00C06AAF" w:rsidP="00CB060C">
      <w:pPr>
        <w:pStyle w:val="Default"/>
        <w:spacing w:after="200" w:line="276" w:lineRule="auto"/>
        <w:contextualSpacing/>
        <w:rPr>
          <w:rFonts w:asciiTheme="minorHAnsi" w:hAnsiTheme="minorHAnsi" w:cstheme="minorHAnsi"/>
          <w:color w:val="auto"/>
        </w:rPr>
      </w:pPr>
      <w:r>
        <w:rPr>
          <w:rFonts w:asciiTheme="minorHAnsi" w:hAnsiTheme="minorHAnsi" w:cstheme="minorHAnsi"/>
          <w:color w:val="auto"/>
        </w:rPr>
        <w:t xml:space="preserve">In FY 2020/21 the County government collected revenue of </w:t>
      </w:r>
      <w:proofErr w:type="spellStart"/>
      <w:r>
        <w:rPr>
          <w:rFonts w:asciiTheme="minorHAnsi" w:hAnsiTheme="minorHAnsi" w:cstheme="minorHAnsi"/>
          <w:color w:val="auto"/>
        </w:rPr>
        <w:t>Kshs</w:t>
      </w:r>
      <w:proofErr w:type="spellEnd"/>
      <w:r>
        <w:rPr>
          <w:rFonts w:asciiTheme="minorHAnsi" w:hAnsiTheme="minorHAnsi" w:cstheme="minorHAnsi"/>
          <w:color w:val="auto"/>
        </w:rPr>
        <w:t xml:space="preserve"> 110 million and the </w:t>
      </w:r>
      <w:proofErr w:type="spellStart"/>
      <w:r>
        <w:rPr>
          <w:rFonts w:asciiTheme="minorHAnsi" w:hAnsiTheme="minorHAnsi" w:cstheme="minorHAnsi"/>
          <w:color w:val="auto"/>
        </w:rPr>
        <w:t>Kshs</w:t>
      </w:r>
      <w:proofErr w:type="spellEnd"/>
      <w:r>
        <w:rPr>
          <w:rFonts w:asciiTheme="minorHAnsi" w:hAnsiTheme="minorHAnsi" w:cstheme="minorHAnsi"/>
          <w:color w:val="auto"/>
        </w:rPr>
        <w:t xml:space="preserve"> 99.56</w:t>
      </w:r>
      <w:r w:rsidR="001E2C93" w:rsidRPr="00AE35CF">
        <w:rPr>
          <w:rFonts w:asciiTheme="minorHAnsi" w:hAnsiTheme="minorHAnsi" w:cstheme="minorHAnsi"/>
          <w:color w:val="auto"/>
        </w:rPr>
        <w:t xml:space="preserve"> </w:t>
      </w:r>
      <w:r w:rsidR="00D91EA4" w:rsidRPr="00AE35CF">
        <w:rPr>
          <w:rFonts w:asciiTheme="minorHAnsi" w:hAnsiTheme="minorHAnsi" w:cstheme="minorHAnsi"/>
          <w:color w:val="auto"/>
        </w:rPr>
        <w:t>million</w:t>
      </w:r>
      <w:r w:rsidR="001E2C93" w:rsidRPr="00AE35CF">
        <w:rPr>
          <w:rFonts w:asciiTheme="minorHAnsi" w:hAnsiTheme="minorHAnsi" w:cstheme="minorHAnsi"/>
          <w:color w:val="auto"/>
        </w:rPr>
        <w:t xml:space="preserve"> achieved in FY 2017</w:t>
      </w:r>
      <w:r>
        <w:rPr>
          <w:rFonts w:asciiTheme="minorHAnsi" w:hAnsiTheme="minorHAnsi" w:cstheme="minorHAnsi"/>
          <w:color w:val="auto"/>
        </w:rPr>
        <w:t>/18 represented a decrease of 71</w:t>
      </w:r>
      <w:r w:rsidR="001E2C93" w:rsidRPr="00AE35CF">
        <w:rPr>
          <w:rFonts w:asciiTheme="minorHAnsi" w:hAnsiTheme="minorHAnsi" w:cstheme="minorHAnsi"/>
          <w:color w:val="auto"/>
        </w:rPr>
        <w:t xml:space="preserve"> percent fro</w:t>
      </w:r>
      <w:r>
        <w:rPr>
          <w:rFonts w:asciiTheme="minorHAnsi" w:hAnsiTheme="minorHAnsi" w:cstheme="minorHAnsi"/>
          <w:color w:val="auto"/>
        </w:rPr>
        <w:t>m the levels achieved in FY 2020/21</w:t>
      </w:r>
      <w:r w:rsidR="001E2C93" w:rsidRPr="00AE35CF">
        <w:rPr>
          <w:rFonts w:asciiTheme="minorHAnsi" w:hAnsiTheme="minorHAnsi" w:cstheme="minorHAnsi"/>
          <w:color w:val="auto"/>
        </w:rPr>
        <w:t xml:space="preserve">. The decrease </w:t>
      </w:r>
      <w:r w:rsidR="00C7595F" w:rsidRPr="00AE35CF">
        <w:rPr>
          <w:rFonts w:asciiTheme="minorHAnsi" w:hAnsiTheme="minorHAnsi" w:cstheme="minorHAnsi"/>
          <w:color w:val="auto"/>
        </w:rPr>
        <w:t>can be attributed to the</w:t>
      </w:r>
      <w:r>
        <w:rPr>
          <w:rFonts w:asciiTheme="minorHAnsi" w:hAnsiTheme="minorHAnsi" w:cstheme="minorHAnsi"/>
          <w:color w:val="auto"/>
        </w:rPr>
        <w:t xml:space="preserve"> drought, </w:t>
      </w:r>
      <w:r w:rsidR="00C7595F" w:rsidRPr="00AE35CF">
        <w:rPr>
          <w:rFonts w:asciiTheme="minorHAnsi" w:hAnsiTheme="minorHAnsi" w:cstheme="minorHAnsi"/>
          <w:color w:val="auto"/>
        </w:rPr>
        <w:t xml:space="preserve">electioneering period that adversely affected economic activity and heightened </w:t>
      </w:r>
      <w:r w:rsidR="000F59A7" w:rsidRPr="00AE35CF">
        <w:rPr>
          <w:rFonts w:asciiTheme="minorHAnsi" w:hAnsiTheme="minorHAnsi" w:cstheme="minorHAnsi"/>
          <w:color w:val="auto"/>
        </w:rPr>
        <w:t>tensions in</w:t>
      </w:r>
      <w:r w:rsidR="00C7595F" w:rsidRPr="00AE35CF">
        <w:rPr>
          <w:rFonts w:asciiTheme="minorHAnsi" w:hAnsiTheme="minorHAnsi" w:cstheme="minorHAnsi"/>
          <w:color w:val="auto"/>
        </w:rPr>
        <w:t xml:space="preserve"> specific locations of the County which are considered volatile and prone to violence. </w:t>
      </w:r>
    </w:p>
    <w:p w:rsidR="000F59A7" w:rsidRPr="00AE35CF" w:rsidRDefault="000F59A7" w:rsidP="00EB1AA7">
      <w:pPr>
        <w:rPr>
          <w:rFonts w:cstheme="minorHAnsi"/>
          <w:sz w:val="24"/>
          <w:szCs w:val="24"/>
        </w:rPr>
      </w:pPr>
      <w:r w:rsidRPr="00AE35CF">
        <w:rPr>
          <w:rFonts w:cstheme="minorHAnsi"/>
          <w:sz w:val="24"/>
          <w:szCs w:val="24"/>
        </w:rPr>
        <w:t>Delay in release of funds by the National Government and under-collection of revenue</w:t>
      </w:r>
      <w:r w:rsidR="00C06AAF">
        <w:rPr>
          <w:rFonts w:cstheme="minorHAnsi"/>
          <w:sz w:val="24"/>
          <w:szCs w:val="24"/>
        </w:rPr>
        <w:t xml:space="preserve"> affected implementation of 2021/22</w:t>
      </w:r>
      <w:r w:rsidRPr="00AE35CF">
        <w:rPr>
          <w:rFonts w:cstheme="minorHAnsi"/>
          <w:sz w:val="24"/>
          <w:szCs w:val="24"/>
        </w:rPr>
        <w:t xml:space="preserve"> budg</w:t>
      </w:r>
      <w:r w:rsidR="00C06AAF">
        <w:rPr>
          <w:rFonts w:cstheme="minorHAnsi"/>
          <w:sz w:val="24"/>
          <w:szCs w:val="24"/>
        </w:rPr>
        <w:t>et. Absorption rate was about 83.16</w:t>
      </w:r>
      <w:r w:rsidRPr="00AE35CF">
        <w:rPr>
          <w:rFonts w:cstheme="minorHAnsi"/>
          <w:sz w:val="24"/>
          <w:szCs w:val="24"/>
        </w:rPr>
        <w:t xml:space="preserve"> percent during the period. Total expenditure in t</w:t>
      </w:r>
      <w:r w:rsidR="00BD7A4F" w:rsidRPr="00AE35CF">
        <w:rPr>
          <w:rFonts w:cstheme="minorHAnsi"/>
          <w:sz w:val="24"/>
          <w:szCs w:val="24"/>
        </w:rPr>
        <w:t xml:space="preserve">he period was </w:t>
      </w:r>
      <w:proofErr w:type="spellStart"/>
      <w:r w:rsidR="00BD7A4F" w:rsidRPr="00AE35CF">
        <w:rPr>
          <w:rFonts w:cstheme="minorHAnsi"/>
          <w:sz w:val="24"/>
          <w:szCs w:val="24"/>
        </w:rPr>
        <w:t>Kshs</w:t>
      </w:r>
      <w:proofErr w:type="spellEnd"/>
      <w:r w:rsidR="00BD7A4F" w:rsidRPr="00AE35CF">
        <w:rPr>
          <w:rFonts w:cstheme="minorHAnsi"/>
          <w:sz w:val="24"/>
          <w:szCs w:val="24"/>
        </w:rPr>
        <w:t xml:space="preserve"> </w:t>
      </w:r>
      <w:r w:rsidR="00C06AAF">
        <w:rPr>
          <w:rFonts w:cstheme="minorHAnsi"/>
          <w:sz w:val="24"/>
          <w:szCs w:val="24"/>
        </w:rPr>
        <w:t>7,760,021,558</w:t>
      </w:r>
      <w:r w:rsidR="00BD7A4F" w:rsidRPr="00AE35CF">
        <w:rPr>
          <w:rFonts w:cstheme="minorHAnsi"/>
          <w:sz w:val="24"/>
          <w:szCs w:val="24"/>
        </w:rPr>
        <w:t xml:space="preserve"> </w:t>
      </w:r>
      <w:r w:rsidRPr="00AE35CF">
        <w:rPr>
          <w:rFonts w:cstheme="minorHAnsi"/>
          <w:sz w:val="24"/>
          <w:szCs w:val="24"/>
        </w:rPr>
        <w:t xml:space="preserve">against </w:t>
      </w:r>
      <w:r w:rsidR="00C06AAF">
        <w:rPr>
          <w:rFonts w:cstheme="minorHAnsi"/>
          <w:sz w:val="24"/>
          <w:szCs w:val="24"/>
        </w:rPr>
        <w:t xml:space="preserve">target of </w:t>
      </w:r>
      <w:proofErr w:type="spellStart"/>
      <w:r w:rsidR="00C06AAF">
        <w:rPr>
          <w:rFonts w:cstheme="minorHAnsi"/>
          <w:sz w:val="24"/>
          <w:szCs w:val="24"/>
        </w:rPr>
        <w:t>Kshs</w:t>
      </w:r>
      <w:proofErr w:type="spellEnd"/>
      <w:r w:rsidR="00C06AAF">
        <w:rPr>
          <w:rFonts w:cstheme="minorHAnsi"/>
          <w:sz w:val="24"/>
          <w:szCs w:val="24"/>
        </w:rPr>
        <w:t xml:space="preserve"> 9,331,541,484</w:t>
      </w:r>
      <w:r w:rsidR="00BD7A4F" w:rsidRPr="00AE35CF">
        <w:rPr>
          <w:rFonts w:cstheme="minorHAnsi"/>
          <w:sz w:val="24"/>
          <w:szCs w:val="24"/>
        </w:rPr>
        <w:t xml:space="preserve"> le</w:t>
      </w:r>
      <w:r w:rsidR="00C06AAF">
        <w:rPr>
          <w:rFonts w:cstheme="minorHAnsi"/>
          <w:sz w:val="24"/>
          <w:szCs w:val="24"/>
        </w:rPr>
        <w:t>ading to a deviation of about 20.25</w:t>
      </w:r>
      <w:r w:rsidRPr="00AE35CF">
        <w:rPr>
          <w:rFonts w:cstheme="minorHAnsi"/>
          <w:sz w:val="24"/>
          <w:szCs w:val="24"/>
        </w:rPr>
        <w:t xml:space="preserve"> percent amou</w:t>
      </w:r>
      <w:r w:rsidR="00C06AAF">
        <w:rPr>
          <w:rFonts w:cstheme="minorHAnsi"/>
          <w:sz w:val="24"/>
          <w:szCs w:val="24"/>
        </w:rPr>
        <w:t xml:space="preserve">nting to </w:t>
      </w:r>
      <w:proofErr w:type="spellStart"/>
      <w:r w:rsidR="00C06AAF">
        <w:rPr>
          <w:rFonts w:cstheme="minorHAnsi"/>
          <w:sz w:val="24"/>
          <w:szCs w:val="24"/>
        </w:rPr>
        <w:t>Kshs</w:t>
      </w:r>
      <w:proofErr w:type="spellEnd"/>
      <w:r w:rsidR="00C06AAF">
        <w:rPr>
          <w:rFonts w:cstheme="minorHAnsi"/>
          <w:sz w:val="24"/>
          <w:szCs w:val="24"/>
        </w:rPr>
        <w:t xml:space="preserve"> 1,571,519,926 attributed to the lower equitable share received by </w:t>
      </w:r>
      <w:proofErr w:type="spellStart"/>
      <w:r w:rsidR="00C06AAF">
        <w:rPr>
          <w:rFonts w:cstheme="minorHAnsi"/>
          <w:sz w:val="24"/>
          <w:szCs w:val="24"/>
        </w:rPr>
        <w:t>Kshs</w:t>
      </w:r>
      <w:proofErr w:type="spellEnd"/>
      <w:r w:rsidR="00C06AAF">
        <w:rPr>
          <w:rFonts w:cstheme="minorHAnsi"/>
          <w:sz w:val="24"/>
          <w:szCs w:val="24"/>
        </w:rPr>
        <w:t xml:space="preserve"> 582,160,319; lower grants and loans receipt of </w:t>
      </w:r>
      <w:proofErr w:type="spellStart"/>
      <w:r w:rsidR="00C06AAF">
        <w:rPr>
          <w:rFonts w:cstheme="minorHAnsi"/>
          <w:sz w:val="24"/>
          <w:szCs w:val="24"/>
        </w:rPr>
        <w:t>Kshs</w:t>
      </w:r>
      <w:proofErr w:type="spellEnd"/>
      <w:r w:rsidR="00C06AAF">
        <w:rPr>
          <w:rFonts w:cstheme="minorHAnsi"/>
          <w:sz w:val="24"/>
          <w:szCs w:val="24"/>
        </w:rPr>
        <w:t xml:space="preserve"> 1,164,764,304; and lower local revenues of </w:t>
      </w:r>
      <w:proofErr w:type="spellStart"/>
      <w:r w:rsidR="00C06AAF">
        <w:rPr>
          <w:rFonts w:cstheme="minorHAnsi"/>
          <w:sz w:val="24"/>
          <w:szCs w:val="24"/>
        </w:rPr>
        <w:t>Kshs</w:t>
      </w:r>
      <w:proofErr w:type="spellEnd"/>
      <w:r w:rsidR="00C06AAF">
        <w:rPr>
          <w:rFonts w:cstheme="minorHAnsi"/>
          <w:sz w:val="24"/>
          <w:szCs w:val="24"/>
        </w:rPr>
        <w:t xml:space="preserve"> 70,436,548</w:t>
      </w:r>
      <w:r w:rsidR="00BD7A4F" w:rsidRPr="00AE35CF">
        <w:rPr>
          <w:rFonts w:cstheme="minorHAnsi"/>
          <w:sz w:val="24"/>
          <w:szCs w:val="24"/>
        </w:rPr>
        <w:t>.</w:t>
      </w:r>
    </w:p>
    <w:p w:rsidR="002F21FB" w:rsidRPr="00AE35CF" w:rsidRDefault="00FF1BDD" w:rsidP="00EB1AA7">
      <w:pPr>
        <w:rPr>
          <w:rFonts w:cstheme="minorHAnsi"/>
          <w:sz w:val="24"/>
          <w:szCs w:val="24"/>
        </w:rPr>
      </w:pPr>
      <w:r w:rsidRPr="00AE35CF">
        <w:rPr>
          <w:rFonts w:cstheme="minorHAnsi"/>
          <w:sz w:val="24"/>
          <w:szCs w:val="24"/>
        </w:rPr>
        <w:t xml:space="preserve">The resource envelop of the County Government has also faced challenges of inadequacy given the size and historical underdevelopment characteristics of the County. The situation has been compounded by the </w:t>
      </w:r>
      <w:r w:rsidR="00A62FAA" w:rsidRPr="00AE35CF">
        <w:rPr>
          <w:rFonts w:cstheme="minorHAnsi"/>
          <w:sz w:val="24"/>
          <w:szCs w:val="24"/>
        </w:rPr>
        <w:t xml:space="preserve">consistent underperformance in the generation of the Own Source revenue which results in the County Government relying on the national government for most of its revenue. </w:t>
      </w:r>
      <w:r w:rsidR="00F2744B">
        <w:rPr>
          <w:rFonts w:cstheme="minorHAnsi"/>
          <w:sz w:val="24"/>
          <w:szCs w:val="24"/>
        </w:rPr>
        <w:t xml:space="preserve">This was exacerbated by the lower than expected equitable share disbursements and significantly lower grants and loans than was envisaged in the approved budget for FY 2021/22. </w:t>
      </w:r>
      <w:r w:rsidR="00A62FAA" w:rsidRPr="00AE35CF">
        <w:rPr>
          <w:rFonts w:cstheme="minorHAnsi"/>
          <w:sz w:val="24"/>
          <w:szCs w:val="24"/>
        </w:rPr>
        <w:t xml:space="preserve">The County Government has developed several strategies place to improve revenue collection </w:t>
      </w:r>
      <w:r w:rsidR="002F21FB" w:rsidRPr="00AE35CF">
        <w:rPr>
          <w:rFonts w:cstheme="minorHAnsi"/>
          <w:sz w:val="24"/>
          <w:szCs w:val="24"/>
        </w:rPr>
        <w:t xml:space="preserve">and also raise additional funds by </w:t>
      </w:r>
      <w:r w:rsidRPr="00AE35CF">
        <w:rPr>
          <w:rFonts w:cstheme="minorHAnsi"/>
          <w:sz w:val="24"/>
          <w:szCs w:val="24"/>
        </w:rPr>
        <w:t xml:space="preserve">strengthening collaboration, networking and partnerships. The government will continue to work with the National Government, development partners and other counties in the region and beyond in addressing development challenges facing residents of the county, especially in water, agriculture, infrastructure and health. </w:t>
      </w:r>
    </w:p>
    <w:p w:rsidR="00681320" w:rsidRPr="0092767E" w:rsidRDefault="00681320" w:rsidP="0092767E">
      <w:pPr>
        <w:pStyle w:val="Style1"/>
        <w:ind w:left="630" w:hanging="630"/>
      </w:pPr>
      <w:r w:rsidRPr="0092767E">
        <w:t>Medium Term Expenditure Framework</w:t>
      </w:r>
    </w:p>
    <w:p w:rsidR="002F21FB" w:rsidRPr="00AE35CF" w:rsidRDefault="002F21FB" w:rsidP="00681320">
      <w:pPr>
        <w:rPr>
          <w:rFonts w:cstheme="minorHAnsi"/>
          <w:sz w:val="24"/>
          <w:szCs w:val="24"/>
        </w:rPr>
      </w:pPr>
      <w:r w:rsidRPr="00AE35CF">
        <w:rPr>
          <w:rFonts w:cstheme="minorHAnsi"/>
          <w:sz w:val="24"/>
          <w:szCs w:val="24"/>
        </w:rPr>
        <w:t>The county government will operate within a framework of balanced budget in the medium term with occasional short term borrowing as may be necessary for cash flow management purposes. The government’s fiscal policy objective in the medium term will be to focus resources to priority and growth potential areas including water, infrastructure, agriculture and livestock production, and health.</w:t>
      </w:r>
    </w:p>
    <w:p w:rsidR="00F01EDB" w:rsidRPr="00AE35CF" w:rsidRDefault="00F01EDB" w:rsidP="00681320">
      <w:pPr>
        <w:rPr>
          <w:rFonts w:cstheme="minorHAnsi"/>
          <w:sz w:val="24"/>
          <w:szCs w:val="24"/>
        </w:rPr>
      </w:pPr>
      <w:r w:rsidRPr="00AE35CF">
        <w:rPr>
          <w:rFonts w:cstheme="minorHAnsi"/>
          <w:sz w:val="24"/>
          <w:szCs w:val="24"/>
        </w:rPr>
        <w:t>Revenue mobilization initiatives will be strengthened to enhance revenue performance. The County’s own revenue performance has been fluctuating over the yea</w:t>
      </w:r>
      <w:r w:rsidR="00F2744B">
        <w:rPr>
          <w:rFonts w:cstheme="minorHAnsi"/>
          <w:sz w:val="24"/>
          <w:szCs w:val="24"/>
        </w:rPr>
        <w:t>rs culminating to a shrink of 71 percent in 2021/22 compared to 2020/21</w:t>
      </w:r>
      <w:r w:rsidRPr="00AE35CF">
        <w:rPr>
          <w:rFonts w:cstheme="minorHAnsi"/>
          <w:sz w:val="24"/>
          <w:szCs w:val="24"/>
        </w:rPr>
        <w:t xml:space="preserve">. To realign local revenue performance to positive growth trajectory, the government will ensure adequate legislations to guide revenue collection and management, improve enforcement for compliance, enhance residents’ ICT literacy levels for more compliance and broaden tax base. The government will engage the National Government and development partners for additional resources to support implementation of targeted development interventions. </w:t>
      </w:r>
    </w:p>
    <w:p w:rsidR="00EE6525" w:rsidRPr="00AE35CF" w:rsidRDefault="00EE6525" w:rsidP="00681320">
      <w:pPr>
        <w:rPr>
          <w:rFonts w:cstheme="minorHAnsi"/>
          <w:sz w:val="24"/>
          <w:szCs w:val="24"/>
        </w:rPr>
      </w:pPr>
      <w:r w:rsidRPr="00AE35CF">
        <w:rPr>
          <w:rFonts w:cstheme="minorHAnsi"/>
          <w:sz w:val="24"/>
          <w:szCs w:val="24"/>
        </w:rPr>
        <w:t xml:space="preserve">In the medium term the county government will strengthen expenditure management focusing on expenditure productivity. This will be done by full implementation of the Integrated Financial Management Information System (IFMIS) across departments. The government will continue to monitor expenditures closely to avoid channeling resources to unproductive expenditure areas. Major expenditure areas will be expected to include personnel emoluments (P.E), development and operations. The government will also increase focus and implementation of </w:t>
      </w:r>
      <w:proofErr w:type="spellStart"/>
      <w:r w:rsidRPr="00AE35CF">
        <w:rPr>
          <w:rFonts w:cstheme="minorHAnsi"/>
          <w:sz w:val="24"/>
          <w:szCs w:val="24"/>
        </w:rPr>
        <w:t>programmes</w:t>
      </w:r>
      <w:proofErr w:type="spellEnd"/>
      <w:r w:rsidRPr="00AE35CF">
        <w:rPr>
          <w:rFonts w:cstheme="minorHAnsi"/>
          <w:sz w:val="24"/>
          <w:szCs w:val="24"/>
        </w:rPr>
        <w:t xml:space="preserve"> targeting the vulnerable including the youth, women and people living with disabilities (PWDs) to enhance their participation in the socio-economic development of the county.</w:t>
      </w:r>
    </w:p>
    <w:p w:rsidR="00EE6525" w:rsidRPr="00AE35CF" w:rsidRDefault="00EE6525" w:rsidP="00681320">
      <w:pPr>
        <w:rPr>
          <w:rFonts w:cstheme="minorHAnsi"/>
          <w:sz w:val="24"/>
          <w:szCs w:val="24"/>
        </w:rPr>
      </w:pPr>
      <w:r w:rsidRPr="00AE35CF">
        <w:rPr>
          <w:rFonts w:cstheme="minorHAnsi"/>
          <w:sz w:val="24"/>
          <w:szCs w:val="24"/>
        </w:rPr>
        <w:t>The fiscal responsibility principles will remain the guiding framework for its public finance management discourse.</w:t>
      </w:r>
    </w:p>
    <w:p w:rsidR="00323FFA" w:rsidRPr="0092767E" w:rsidRDefault="00323FFA" w:rsidP="0092767E">
      <w:pPr>
        <w:pStyle w:val="Style1"/>
        <w:ind w:left="630" w:hanging="630"/>
      </w:pPr>
      <w:r w:rsidRPr="0092767E">
        <w:t>Risks to the Outlook</w:t>
      </w:r>
    </w:p>
    <w:p w:rsidR="00A77E4F" w:rsidRPr="00AE35CF" w:rsidRDefault="00A77E4F" w:rsidP="00A77E4F">
      <w:pPr>
        <w:rPr>
          <w:rFonts w:cstheme="minorHAnsi"/>
          <w:sz w:val="24"/>
          <w:szCs w:val="24"/>
        </w:rPr>
      </w:pPr>
      <w:r w:rsidRPr="00AE35CF">
        <w:rPr>
          <w:rFonts w:cstheme="minorHAnsi"/>
          <w:sz w:val="24"/>
          <w:szCs w:val="24"/>
        </w:rPr>
        <w:t>The county operates within the framework of global economy and the world scenario will affect the economy of the county through exports, tourism, among others. In the event of a downturn in the Global economy of the economy of Kenya against the World Economy, then the revenues from the equitable share m</w:t>
      </w:r>
      <w:r w:rsidR="009970CF" w:rsidRPr="00AE35CF">
        <w:rPr>
          <w:rFonts w:cstheme="minorHAnsi"/>
          <w:sz w:val="24"/>
          <w:szCs w:val="24"/>
        </w:rPr>
        <w:t xml:space="preserve">ay not grow as projected. Further, the Counties are already facing revenue cuts due to the ongoing Austerity measures. The impact and effect of such measures </w:t>
      </w:r>
      <w:r w:rsidR="00F2744B">
        <w:rPr>
          <w:rFonts w:cstheme="minorHAnsi"/>
          <w:sz w:val="24"/>
          <w:szCs w:val="24"/>
        </w:rPr>
        <w:t xml:space="preserve">have been significant in the Kenyan economy and affected performance though this is expected to improve from FY 2022/23. The impact of the elections, drought being faced and the violence which affected FY 2021/22 also impacted negatively on the County revenues. The efforts to deal with the negative impacts have been put in place. </w:t>
      </w:r>
      <w:r w:rsidR="009970CF" w:rsidRPr="00AE35CF">
        <w:rPr>
          <w:rFonts w:cstheme="minorHAnsi"/>
          <w:sz w:val="24"/>
          <w:szCs w:val="24"/>
        </w:rPr>
        <w:t xml:space="preserve"> However, the potential for adverse impact on the projections and resultant </w:t>
      </w:r>
      <w:r w:rsidR="00B142B3" w:rsidRPr="00AE35CF">
        <w:rPr>
          <w:rFonts w:cstheme="minorHAnsi"/>
          <w:sz w:val="24"/>
          <w:szCs w:val="24"/>
        </w:rPr>
        <w:t>budget ceilings is considered moderate to high.</w:t>
      </w:r>
    </w:p>
    <w:p w:rsidR="00A77E4F" w:rsidRPr="00AE35CF" w:rsidRDefault="00A77E4F" w:rsidP="00A77E4F">
      <w:pPr>
        <w:rPr>
          <w:rFonts w:cstheme="minorHAnsi"/>
          <w:sz w:val="24"/>
          <w:szCs w:val="24"/>
        </w:rPr>
      </w:pPr>
      <w:r w:rsidRPr="00AE35CF">
        <w:rPr>
          <w:rFonts w:cstheme="minorHAnsi"/>
          <w:sz w:val="24"/>
          <w:szCs w:val="24"/>
        </w:rPr>
        <w:t xml:space="preserve">The outlook is based on assumed normal rainfall. However, rainfall pattern proved erratic in some seasons in the past. Erratic rainfall pattern, if experienced, is likely to affect </w:t>
      </w:r>
      <w:r w:rsidR="00D91EA4" w:rsidRPr="00AE35CF">
        <w:rPr>
          <w:rFonts w:cstheme="minorHAnsi"/>
          <w:sz w:val="24"/>
          <w:szCs w:val="24"/>
        </w:rPr>
        <w:t>livestock production</w:t>
      </w:r>
      <w:r w:rsidRPr="00AE35CF">
        <w:rPr>
          <w:rFonts w:cstheme="minorHAnsi"/>
          <w:sz w:val="24"/>
          <w:szCs w:val="24"/>
        </w:rPr>
        <w:t>.</w:t>
      </w:r>
    </w:p>
    <w:p w:rsidR="00A77E4F" w:rsidRPr="00AE35CF" w:rsidRDefault="00A77E4F" w:rsidP="00A77E4F">
      <w:pPr>
        <w:rPr>
          <w:rFonts w:cstheme="minorHAnsi"/>
          <w:sz w:val="24"/>
          <w:szCs w:val="24"/>
        </w:rPr>
      </w:pPr>
      <w:r w:rsidRPr="00AE35CF">
        <w:rPr>
          <w:rFonts w:cstheme="minorHAnsi"/>
          <w:sz w:val="24"/>
          <w:szCs w:val="24"/>
        </w:rPr>
        <w:t>Local revenue performance. This has been fluctuating and underperforming. But with the expected improved revenue performance at the national level due to the growth momentum of the Kenya, the total revenue of the county is expected to increase over the medium term. Expenditure pressures due to increasing wage bill thus leaving inadequate resources for development.</w:t>
      </w:r>
    </w:p>
    <w:p w:rsidR="00A77E4F" w:rsidRPr="00AE35CF" w:rsidRDefault="00B142B3" w:rsidP="00A77E4F">
      <w:pPr>
        <w:rPr>
          <w:rFonts w:cstheme="minorHAnsi"/>
          <w:sz w:val="24"/>
          <w:szCs w:val="24"/>
        </w:rPr>
      </w:pPr>
      <w:r w:rsidRPr="00AE35CF">
        <w:rPr>
          <w:rFonts w:cstheme="minorHAnsi"/>
          <w:sz w:val="24"/>
          <w:szCs w:val="24"/>
        </w:rPr>
        <w:t xml:space="preserve">Delays in the receipt of the equitable share in the county affects the absorption and ability of the County to make timely interventions. For the FY </w:t>
      </w:r>
      <w:r w:rsidR="00F2744B">
        <w:rPr>
          <w:rFonts w:cstheme="minorHAnsi"/>
          <w:sz w:val="24"/>
          <w:szCs w:val="24"/>
        </w:rPr>
        <w:t>2023/24</w:t>
      </w:r>
      <w:r w:rsidRPr="00AE35CF">
        <w:rPr>
          <w:rFonts w:cstheme="minorHAnsi"/>
          <w:sz w:val="24"/>
          <w:szCs w:val="24"/>
        </w:rPr>
        <w:t xml:space="preserve"> and beyond the County will seek to make accurate cash</w:t>
      </w:r>
      <w:r w:rsidR="007A4FEC" w:rsidRPr="00AE35CF">
        <w:rPr>
          <w:rFonts w:cstheme="minorHAnsi"/>
          <w:sz w:val="24"/>
          <w:szCs w:val="24"/>
        </w:rPr>
        <w:t>-</w:t>
      </w:r>
      <w:r w:rsidRPr="00AE35CF">
        <w:rPr>
          <w:rFonts w:cstheme="minorHAnsi"/>
          <w:sz w:val="24"/>
          <w:szCs w:val="24"/>
        </w:rPr>
        <w:t xml:space="preserve">flow projections to be shared with the </w:t>
      </w:r>
      <w:r w:rsidR="007A4FEC" w:rsidRPr="00AE35CF">
        <w:rPr>
          <w:rFonts w:cstheme="minorHAnsi"/>
          <w:sz w:val="24"/>
          <w:szCs w:val="24"/>
        </w:rPr>
        <w:t xml:space="preserve">Controller of Budget and National Treasury which will ensure better planning for resources. </w:t>
      </w:r>
    </w:p>
    <w:p w:rsidR="00A77E4F" w:rsidRPr="00AE35CF" w:rsidRDefault="007A4FEC" w:rsidP="00A77E4F">
      <w:pPr>
        <w:rPr>
          <w:rFonts w:cstheme="minorHAnsi"/>
          <w:sz w:val="24"/>
          <w:szCs w:val="24"/>
        </w:rPr>
      </w:pPr>
      <w:r w:rsidRPr="00AE35CF">
        <w:rPr>
          <w:rFonts w:cstheme="minorHAnsi"/>
          <w:sz w:val="24"/>
          <w:szCs w:val="24"/>
        </w:rPr>
        <w:t>The final risk is the c</w:t>
      </w:r>
      <w:r w:rsidR="00A77E4F" w:rsidRPr="00AE35CF">
        <w:rPr>
          <w:rFonts w:cstheme="minorHAnsi"/>
          <w:sz w:val="24"/>
          <w:szCs w:val="24"/>
        </w:rPr>
        <w:t>onflicting priorities between the County Assembly and the County Executive thus affecting budget making process and budget execution.</w:t>
      </w:r>
      <w:r w:rsidR="00F2744B">
        <w:rPr>
          <w:rFonts w:cstheme="minorHAnsi"/>
          <w:sz w:val="24"/>
          <w:szCs w:val="24"/>
        </w:rPr>
        <w:t xml:space="preserve"> This will be streamlined by ensuring a participatory framework for priority building that will be set out in the third generation CIDP (2022-2027) and the ADP for FY 2023/24 MTEF period. </w:t>
      </w:r>
    </w:p>
    <w:p w:rsidR="00E661F6" w:rsidRDefault="00E661F6" w:rsidP="00E661F6">
      <w:pPr>
        <w:rPr>
          <w:rFonts w:cstheme="minorHAnsi"/>
          <w:sz w:val="24"/>
          <w:szCs w:val="24"/>
        </w:rPr>
      </w:pPr>
    </w:p>
    <w:p w:rsidR="00EE6525" w:rsidRPr="00C4418D" w:rsidRDefault="00EE6525" w:rsidP="00E661F6">
      <w:pPr>
        <w:rPr>
          <w:rFonts w:cstheme="minorHAnsi"/>
          <w:sz w:val="24"/>
          <w:szCs w:val="24"/>
        </w:rPr>
        <w:sectPr w:rsidR="00EE6525" w:rsidRPr="00C4418D" w:rsidSect="00CC7824">
          <w:pgSz w:w="11907" w:h="16839" w:code="9"/>
          <w:pgMar w:top="1440" w:right="1440" w:bottom="1440" w:left="1440" w:header="720" w:footer="720" w:gutter="0"/>
          <w:cols w:space="720"/>
          <w:docGrid w:linePitch="360"/>
        </w:sectPr>
      </w:pPr>
    </w:p>
    <w:p w:rsidR="0045458E" w:rsidRPr="001154EB" w:rsidRDefault="007F297D" w:rsidP="001154EB">
      <w:pPr>
        <w:pStyle w:val="Heading1"/>
        <w:numPr>
          <w:ilvl w:val="0"/>
          <w:numId w:val="43"/>
        </w:numPr>
        <w:pBdr>
          <w:bottom w:val="single" w:sz="4" w:space="1" w:color="auto"/>
        </w:pBdr>
        <w:spacing w:after="240"/>
        <w:ind w:hanging="720"/>
        <w:rPr>
          <w:color w:val="auto"/>
        </w:rPr>
      </w:pPr>
      <w:bookmarkStart w:id="31" w:name="_Toc525549623"/>
      <w:r w:rsidRPr="001154EB">
        <w:rPr>
          <w:color w:val="auto"/>
        </w:rPr>
        <w:t>RESOURCE ALLOCATION FRAMEWORK</w:t>
      </w:r>
      <w:bookmarkEnd w:id="31"/>
      <w:r w:rsidRPr="001154EB">
        <w:rPr>
          <w:color w:val="auto"/>
        </w:rPr>
        <w:t xml:space="preserve"> </w:t>
      </w:r>
    </w:p>
    <w:p w:rsidR="00E661F6" w:rsidRPr="00AE35CF" w:rsidRDefault="00E661F6" w:rsidP="00EB1AA7">
      <w:pPr>
        <w:rPr>
          <w:rFonts w:cstheme="minorHAnsi"/>
          <w:sz w:val="24"/>
          <w:szCs w:val="24"/>
        </w:rPr>
      </w:pPr>
      <w:r w:rsidRPr="00AE35CF">
        <w:rPr>
          <w:rFonts w:cstheme="minorHAnsi"/>
          <w:sz w:val="24"/>
          <w:szCs w:val="24"/>
        </w:rPr>
        <w:t>This section establishes the resource envelope the county expects and how it will be allocated ac</w:t>
      </w:r>
      <w:r w:rsidR="00F2744B">
        <w:rPr>
          <w:rFonts w:cstheme="minorHAnsi"/>
          <w:sz w:val="24"/>
          <w:szCs w:val="24"/>
        </w:rPr>
        <w:t>ross all the sectors for 2023/24</w:t>
      </w:r>
      <w:r w:rsidRPr="00AE35CF">
        <w:rPr>
          <w:rFonts w:cstheme="minorHAnsi"/>
          <w:sz w:val="24"/>
          <w:szCs w:val="24"/>
        </w:rPr>
        <w:t xml:space="preserve"> FY and MTEF</w:t>
      </w:r>
    </w:p>
    <w:p w:rsidR="00E661F6" w:rsidRPr="00C4418D" w:rsidRDefault="00E661F6" w:rsidP="00E661F6">
      <w:pPr>
        <w:pStyle w:val="ListParagraph"/>
        <w:numPr>
          <w:ilvl w:val="0"/>
          <w:numId w:val="36"/>
        </w:numPr>
        <w:rPr>
          <w:rFonts w:cstheme="minorHAnsi"/>
          <w:b/>
          <w:vanish/>
          <w:sz w:val="24"/>
          <w:szCs w:val="24"/>
        </w:rPr>
      </w:pPr>
    </w:p>
    <w:p w:rsidR="00E661F6" w:rsidRPr="0092767E" w:rsidRDefault="00D83D06" w:rsidP="0092767E">
      <w:pPr>
        <w:pStyle w:val="Style1"/>
        <w:ind w:left="630" w:hanging="630"/>
      </w:pPr>
      <w:r w:rsidRPr="0092767E">
        <w:t xml:space="preserve">Adjustment to the FY </w:t>
      </w:r>
      <w:r w:rsidR="00F2744B">
        <w:t>2022/23</w:t>
      </w:r>
      <w:r w:rsidR="00E661F6" w:rsidRPr="0092767E">
        <w:t xml:space="preserve"> Budget</w:t>
      </w:r>
    </w:p>
    <w:p w:rsidR="00E661F6" w:rsidRPr="00AE35CF" w:rsidRDefault="00F2744B" w:rsidP="006D7C8A">
      <w:pPr>
        <w:pStyle w:val="Default"/>
        <w:spacing w:after="200" w:line="276" w:lineRule="auto"/>
        <w:contextualSpacing/>
        <w:rPr>
          <w:rFonts w:asciiTheme="minorHAnsi" w:hAnsiTheme="minorHAnsi" w:cstheme="minorHAnsi"/>
          <w:color w:val="auto"/>
        </w:rPr>
      </w:pPr>
      <w:r>
        <w:rPr>
          <w:rFonts w:asciiTheme="minorHAnsi" w:hAnsiTheme="minorHAnsi" w:cstheme="minorHAnsi"/>
          <w:color w:val="auto"/>
        </w:rPr>
        <w:t>The 2022/23</w:t>
      </w:r>
      <w:r w:rsidR="0018285F" w:rsidRPr="00AE35CF">
        <w:rPr>
          <w:rFonts w:asciiTheme="minorHAnsi" w:hAnsiTheme="minorHAnsi" w:cstheme="minorHAnsi"/>
          <w:color w:val="auto"/>
        </w:rPr>
        <w:t xml:space="preserve"> Budget sought to set the agenda for the new government and consolidate the gains made by the previous government even as the County continues to pursue the transformative agenda it started for inclusive economic growth.</w:t>
      </w:r>
    </w:p>
    <w:p w:rsidR="0018285F" w:rsidRPr="00AE35CF" w:rsidRDefault="0018285F" w:rsidP="006D7C8A">
      <w:pPr>
        <w:pStyle w:val="Default"/>
        <w:spacing w:after="200" w:line="276" w:lineRule="auto"/>
        <w:contextualSpacing/>
        <w:rPr>
          <w:rFonts w:asciiTheme="minorHAnsi" w:hAnsiTheme="minorHAnsi" w:cstheme="minorHAnsi"/>
          <w:color w:val="auto"/>
        </w:rPr>
      </w:pPr>
    </w:p>
    <w:p w:rsidR="00962752" w:rsidRPr="00AE35CF" w:rsidRDefault="00962752" w:rsidP="006D7C8A">
      <w:pPr>
        <w:pStyle w:val="Default"/>
        <w:spacing w:after="200" w:line="276" w:lineRule="auto"/>
        <w:contextualSpacing/>
        <w:rPr>
          <w:rFonts w:asciiTheme="minorHAnsi" w:hAnsiTheme="minorHAnsi" w:cstheme="minorHAnsi"/>
          <w:color w:val="auto"/>
        </w:rPr>
      </w:pPr>
      <w:r w:rsidRPr="00AE35CF">
        <w:rPr>
          <w:rFonts w:asciiTheme="minorHAnsi" w:hAnsiTheme="minorHAnsi" w:cstheme="minorHAnsi"/>
          <w:color w:val="auto"/>
        </w:rPr>
        <w:t>However, even as the implementation of the budget continues, there will be need to make adjustments to the budget. Specifically;</w:t>
      </w:r>
    </w:p>
    <w:p w:rsidR="00962752" w:rsidRPr="00AE35CF" w:rsidRDefault="00962752" w:rsidP="006D7C8A">
      <w:pPr>
        <w:pStyle w:val="Default"/>
        <w:spacing w:after="200" w:line="276" w:lineRule="auto"/>
        <w:contextualSpacing/>
        <w:rPr>
          <w:rFonts w:asciiTheme="minorHAnsi" w:hAnsiTheme="minorHAnsi" w:cstheme="minorHAnsi"/>
          <w:color w:val="auto"/>
        </w:rPr>
      </w:pPr>
    </w:p>
    <w:p w:rsidR="00F2744B" w:rsidRDefault="00F2744B" w:rsidP="00407173">
      <w:pPr>
        <w:pStyle w:val="Default"/>
        <w:numPr>
          <w:ilvl w:val="0"/>
          <w:numId w:val="41"/>
        </w:numPr>
        <w:spacing w:after="200" w:line="276" w:lineRule="auto"/>
        <w:ind w:left="360"/>
        <w:contextualSpacing/>
        <w:rPr>
          <w:rFonts w:asciiTheme="minorHAnsi" w:hAnsiTheme="minorHAnsi" w:cstheme="minorHAnsi"/>
          <w:color w:val="auto"/>
        </w:rPr>
      </w:pPr>
      <w:r>
        <w:rPr>
          <w:rFonts w:asciiTheme="minorHAnsi" w:hAnsiTheme="minorHAnsi" w:cstheme="minorHAnsi"/>
          <w:color w:val="auto"/>
        </w:rPr>
        <w:t xml:space="preserve">The County will enter into a new integrated planning period as they set to complete the CIDP 2022-2027 and the </w:t>
      </w:r>
      <w:r w:rsidR="00216D7A">
        <w:rPr>
          <w:rFonts w:asciiTheme="minorHAnsi" w:hAnsiTheme="minorHAnsi" w:cstheme="minorHAnsi"/>
          <w:color w:val="auto"/>
        </w:rPr>
        <w:t>priorities</w:t>
      </w:r>
      <w:r>
        <w:rPr>
          <w:rFonts w:asciiTheme="minorHAnsi" w:hAnsiTheme="minorHAnsi" w:cstheme="minorHAnsi"/>
          <w:color w:val="auto"/>
        </w:rPr>
        <w:t xml:space="preserve"> and </w:t>
      </w:r>
      <w:proofErr w:type="spellStart"/>
      <w:r>
        <w:rPr>
          <w:rFonts w:asciiTheme="minorHAnsi" w:hAnsiTheme="minorHAnsi" w:cstheme="minorHAnsi"/>
          <w:color w:val="auto"/>
        </w:rPr>
        <w:t>programmes</w:t>
      </w:r>
      <w:proofErr w:type="spellEnd"/>
      <w:r>
        <w:rPr>
          <w:rFonts w:asciiTheme="minorHAnsi" w:hAnsiTheme="minorHAnsi" w:cstheme="minorHAnsi"/>
          <w:color w:val="auto"/>
        </w:rPr>
        <w:t xml:space="preserve"> that will be set will necessitate an update to the budget for FY 2022/23 to better align the expenditures to the identified priority areas which will also be aligned to the manifesto for the new term of the current administration. </w:t>
      </w:r>
    </w:p>
    <w:p w:rsidR="00F2744B" w:rsidRDefault="00F2744B" w:rsidP="00407173">
      <w:pPr>
        <w:pStyle w:val="Default"/>
        <w:numPr>
          <w:ilvl w:val="0"/>
          <w:numId w:val="41"/>
        </w:numPr>
        <w:spacing w:after="200" w:line="276" w:lineRule="auto"/>
        <w:ind w:left="360"/>
        <w:contextualSpacing/>
        <w:rPr>
          <w:rFonts w:asciiTheme="minorHAnsi" w:hAnsiTheme="minorHAnsi" w:cstheme="minorHAnsi"/>
          <w:color w:val="auto"/>
        </w:rPr>
      </w:pPr>
      <w:r>
        <w:rPr>
          <w:rFonts w:asciiTheme="minorHAnsi" w:hAnsiTheme="minorHAnsi" w:cstheme="minorHAnsi"/>
          <w:color w:val="auto"/>
        </w:rPr>
        <w:t xml:space="preserve">The Country has also transitioned to a new administration that has prioritized the “bottom up” </w:t>
      </w:r>
      <w:r w:rsidR="0088282B">
        <w:rPr>
          <w:rFonts w:asciiTheme="minorHAnsi" w:hAnsiTheme="minorHAnsi" w:cstheme="minorHAnsi"/>
          <w:color w:val="auto"/>
        </w:rPr>
        <w:t xml:space="preserve">model which will require specific alignment of the budget to complement the national strategies to be adopted to achieve the new mandate. As the national government roles out the new economic interventions, the county will be alive to the requirements to complement and support such initiatives and this will require specific budget alignments to accommodate an integration of strategies and </w:t>
      </w:r>
      <w:proofErr w:type="spellStart"/>
      <w:r w:rsidR="0088282B">
        <w:rPr>
          <w:rFonts w:asciiTheme="minorHAnsi" w:hAnsiTheme="minorHAnsi" w:cstheme="minorHAnsi"/>
          <w:color w:val="auto"/>
        </w:rPr>
        <w:t>programmes</w:t>
      </w:r>
      <w:proofErr w:type="spellEnd"/>
      <w:r w:rsidR="0088282B">
        <w:rPr>
          <w:rFonts w:asciiTheme="minorHAnsi" w:hAnsiTheme="minorHAnsi" w:cstheme="minorHAnsi"/>
          <w:color w:val="auto"/>
        </w:rPr>
        <w:t>.</w:t>
      </w:r>
    </w:p>
    <w:p w:rsidR="00407173" w:rsidRPr="00AE35CF" w:rsidRDefault="00962752" w:rsidP="00407173">
      <w:pPr>
        <w:pStyle w:val="Default"/>
        <w:numPr>
          <w:ilvl w:val="0"/>
          <w:numId w:val="41"/>
        </w:numPr>
        <w:spacing w:after="200" w:line="276" w:lineRule="auto"/>
        <w:ind w:left="360"/>
        <w:contextualSpacing/>
        <w:rPr>
          <w:rFonts w:asciiTheme="minorHAnsi" w:hAnsiTheme="minorHAnsi" w:cstheme="minorHAnsi"/>
          <w:color w:val="auto"/>
        </w:rPr>
      </w:pPr>
      <w:r w:rsidRPr="00AE35CF">
        <w:rPr>
          <w:rFonts w:asciiTheme="minorHAnsi" w:hAnsiTheme="minorHAnsi" w:cstheme="minorHAnsi"/>
          <w:color w:val="auto"/>
        </w:rPr>
        <w:t xml:space="preserve">The </w:t>
      </w:r>
      <w:r w:rsidR="0088282B" w:rsidRPr="00AE35CF">
        <w:rPr>
          <w:rFonts w:asciiTheme="minorHAnsi" w:hAnsiTheme="minorHAnsi" w:cstheme="minorHAnsi"/>
          <w:color w:val="auto"/>
        </w:rPr>
        <w:t xml:space="preserve">new </w:t>
      </w:r>
      <w:r w:rsidR="0088282B">
        <w:rPr>
          <w:rFonts w:asciiTheme="minorHAnsi" w:hAnsiTheme="minorHAnsi" w:cstheme="minorHAnsi"/>
          <w:color w:val="auto"/>
        </w:rPr>
        <w:t>and</w:t>
      </w:r>
      <w:r w:rsidR="00F2744B">
        <w:rPr>
          <w:rFonts w:asciiTheme="minorHAnsi" w:hAnsiTheme="minorHAnsi" w:cstheme="minorHAnsi"/>
          <w:color w:val="auto"/>
        </w:rPr>
        <w:t xml:space="preserve"> varied </w:t>
      </w:r>
      <w:r w:rsidRPr="00AE35CF">
        <w:rPr>
          <w:rFonts w:asciiTheme="minorHAnsi" w:hAnsiTheme="minorHAnsi" w:cstheme="minorHAnsi"/>
          <w:color w:val="auto"/>
        </w:rPr>
        <w:t xml:space="preserve">austerity measures </w:t>
      </w:r>
      <w:r w:rsidR="00F2744B">
        <w:rPr>
          <w:rFonts w:asciiTheme="minorHAnsi" w:hAnsiTheme="minorHAnsi" w:cstheme="minorHAnsi"/>
          <w:color w:val="auto"/>
        </w:rPr>
        <w:t>may impact the equitable allocation</w:t>
      </w:r>
      <w:r w:rsidR="0088282B">
        <w:rPr>
          <w:rFonts w:asciiTheme="minorHAnsi" w:hAnsiTheme="minorHAnsi" w:cstheme="minorHAnsi"/>
          <w:color w:val="auto"/>
        </w:rPr>
        <w:t xml:space="preserve">. </w:t>
      </w:r>
      <w:r w:rsidRPr="00AE35CF">
        <w:rPr>
          <w:rFonts w:asciiTheme="minorHAnsi" w:hAnsiTheme="minorHAnsi" w:cstheme="minorHAnsi"/>
          <w:color w:val="auto"/>
        </w:rPr>
        <w:t xml:space="preserve">Consequently, this will impact on the equitable share allocation to the County Government of </w:t>
      </w:r>
      <w:proofErr w:type="spellStart"/>
      <w:r w:rsidRPr="00AE35CF">
        <w:rPr>
          <w:rFonts w:asciiTheme="minorHAnsi" w:hAnsiTheme="minorHAnsi" w:cstheme="minorHAnsi"/>
          <w:color w:val="auto"/>
        </w:rPr>
        <w:t>Marsabit</w:t>
      </w:r>
      <w:proofErr w:type="spellEnd"/>
      <w:r w:rsidRPr="00AE35CF">
        <w:rPr>
          <w:rFonts w:asciiTheme="minorHAnsi" w:hAnsiTheme="minorHAnsi" w:cstheme="minorHAnsi"/>
          <w:color w:val="auto"/>
        </w:rPr>
        <w:t xml:space="preserve"> and will require further alignments to the budget to refocus spending priorities.</w:t>
      </w:r>
    </w:p>
    <w:p w:rsidR="006A2F6A" w:rsidRPr="00047254" w:rsidRDefault="006A2F6A" w:rsidP="00047254">
      <w:pPr>
        <w:pStyle w:val="ListParagraph"/>
        <w:numPr>
          <w:ilvl w:val="1"/>
          <w:numId w:val="36"/>
        </w:numPr>
        <w:ind w:left="540" w:hanging="540"/>
        <w:rPr>
          <w:rFonts w:asciiTheme="majorHAnsi" w:hAnsiTheme="majorHAnsi" w:cstheme="minorHAnsi"/>
          <w:b/>
          <w:sz w:val="24"/>
          <w:szCs w:val="24"/>
        </w:rPr>
      </w:pPr>
      <w:r w:rsidRPr="00047254">
        <w:rPr>
          <w:rFonts w:asciiTheme="majorHAnsi" w:hAnsiTheme="majorHAnsi" w:cstheme="minorHAnsi"/>
          <w:b/>
          <w:sz w:val="24"/>
          <w:szCs w:val="24"/>
        </w:rPr>
        <w:t>Medium Term Expenditure Framework</w:t>
      </w:r>
      <w:r w:rsidR="00F50F76" w:rsidRPr="00047254">
        <w:rPr>
          <w:rFonts w:asciiTheme="majorHAnsi" w:hAnsiTheme="majorHAnsi" w:cstheme="minorHAnsi"/>
          <w:b/>
          <w:sz w:val="24"/>
          <w:szCs w:val="24"/>
        </w:rPr>
        <w:t xml:space="preserve"> </w:t>
      </w:r>
    </w:p>
    <w:p w:rsidR="006A2F6A" w:rsidRPr="00AE35CF" w:rsidRDefault="00CA72DE" w:rsidP="006D7C8A">
      <w:pPr>
        <w:pStyle w:val="Default"/>
        <w:spacing w:after="200" w:line="276" w:lineRule="auto"/>
        <w:contextualSpacing/>
        <w:rPr>
          <w:rFonts w:asciiTheme="minorHAnsi" w:hAnsiTheme="minorHAnsi" w:cstheme="minorHAnsi"/>
          <w:color w:val="auto"/>
        </w:rPr>
      </w:pPr>
      <w:r w:rsidRPr="00AE35CF">
        <w:rPr>
          <w:rFonts w:asciiTheme="minorHAnsi" w:hAnsiTheme="minorHAnsi" w:cstheme="minorHAnsi"/>
          <w:color w:val="auto"/>
        </w:rPr>
        <w:t>Allocation and utilization of resources in the medium term will be guided by the priorities outlined in county integrated development plan and other county plans; and in accordance with section 107 of the PFM Act 2012. For effective utilization of public finances for enhanced expenditure productivity, the county government will prioritize expenditures within the overall sector ceilings and strategic sector priorities.</w:t>
      </w:r>
    </w:p>
    <w:p w:rsidR="00D45853" w:rsidRPr="006D7C8A" w:rsidRDefault="00D45853" w:rsidP="006D7C8A">
      <w:pPr>
        <w:pStyle w:val="Default"/>
        <w:spacing w:after="200" w:line="276" w:lineRule="auto"/>
        <w:contextualSpacing/>
        <w:rPr>
          <w:rFonts w:asciiTheme="minorHAnsi" w:hAnsiTheme="minorHAnsi" w:cstheme="minorHAnsi"/>
          <w:color w:val="auto"/>
          <w:sz w:val="22"/>
          <w:szCs w:val="22"/>
        </w:rPr>
      </w:pPr>
    </w:p>
    <w:p w:rsidR="00CA72DE" w:rsidRPr="00AE35CF" w:rsidRDefault="00CA72DE" w:rsidP="006D7C8A">
      <w:pPr>
        <w:pStyle w:val="Default"/>
        <w:spacing w:after="200" w:line="276" w:lineRule="auto"/>
        <w:contextualSpacing/>
        <w:rPr>
          <w:rFonts w:asciiTheme="minorHAnsi" w:hAnsiTheme="minorHAnsi" w:cstheme="minorHAnsi"/>
          <w:color w:val="auto"/>
        </w:rPr>
      </w:pPr>
      <w:r w:rsidRPr="00AE35CF">
        <w:rPr>
          <w:rFonts w:asciiTheme="minorHAnsi" w:hAnsiTheme="minorHAnsi" w:cstheme="minorHAnsi"/>
          <w:color w:val="auto"/>
        </w:rPr>
        <w:t xml:space="preserve">Table </w:t>
      </w:r>
      <w:r w:rsidR="00DA74EB">
        <w:rPr>
          <w:rFonts w:asciiTheme="minorHAnsi" w:hAnsiTheme="minorHAnsi" w:cstheme="minorHAnsi"/>
          <w:color w:val="auto"/>
        </w:rPr>
        <w:t>2.</w:t>
      </w:r>
      <w:r w:rsidRPr="00AE35CF">
        <w:rPr>
          <w:rFonts w:asciiTheme="minorHAnsi" w:hAnsiTheme="minorHAnsi" w:cstheme="minorHAnsi"/>
          <w:color w:val="auto"/>
        </w:rPr>
        <w:t>5 below therefore provides indicative sector ceilings for the</w:t>
      </w:r>
      <w:r w:rsidR="0088282B">
        <w:rPr>
          <w:rFonts w:asciiTheme="minorHAnsi" w:hAnsiTheme="minorHAnsi" w:cstheme="minorHAnsi"/>
          <w:color w:val="auto"/>
        </w:rPr>
        <w:t xml:space="preserve"> FY 2023/24 MTEF. </w:t>
      </w:r>
      <w:r w:rsidRPr="00AE35CF">
        <w:rPr>
          <w:rFonts w:asciiTheme="minorHAnsi" w:hAnsiTheme="minorHAnsi" w:cstheme="minorHAnsi"/>
          <w:color w:val="auto"/>
        </w:rPr>
        <w:t>The projections are inclusive of conditional allocations and grants/loans</w:t>
      </w:r>
      <w:r w:rsidR="00BC4546" w:rsidRPr="00AE35CF">
        <w:rPr>
          <w:rFonts w:asciiTheme="minorHAnsi" w:hAnsiTheme="minorHAnsi" w:cstheme="minorHAnsi"/>
          <w:color w:val="auto"/>
        </w:rPr>
        <w:t>.</w:t>
      </w:r>
    </w:p>
    <w:p w:rsidR="00BC4546" w:rsidRPr="00C4418D" w:rsidRDefault="00BC4546" w:rsidP="00CA72DE">
      <w:pPr>
        <w:rPr>
          <w:rFonts w:cstheme="minorHAnsi"/>
          <w:sz w:val="24"/>
          <w:szCs w:val="24"/>
        </w:rPr>
        <w:sectPr w:rsidR="00BC4546" w:rsidRPr="00C4418D" w:rsidSect="00CC7824">
          <w:pgSz w:w="11907" w:h="16839" w:code="9"/>
          <w:pgMar w:top="1440" w:right="1440" w:bottom="1440" w:left="1440" w:header="720" w:footer="720" w:gutter="0"/>
          <w:cols w:space="720"/>
          <w:docGrid w:linePitch="360"/>
        </w:sectPr>
      </w:pPr>
    </w:p>
    <w:p w:rsidR="00BC4546" w:rsidRDefault="00BC4546" w:rsidP="00DA74EB">
      <w:pPr>
        <w:spacing w:before="100" w:beforeAutospacing="1" w:after="240" w:line="240" w:lineRule="auto"/>
        <w:rPr>
          <w:rFonts w:cstheme="minorHAnsi"/>
          <w:b/>
          <w:bCs/>
          <w:spacing w:val="1"/>
          <w:sz w:val="23"/>
          <w:szCs w:val="23"/>
        </w:rPr>
      </w:pPr>
      <w:r w:rsidRPr="00C4418D">
        <w:rPr>
          <w:rFonts w:cstheme="minorHAnsi"/>
          <w:b/>
          <w:bCs/>
          <w:spacing w:val="1"/>
          <w:sz w:val="23"/>
          <w:szCs w:val="23"/>
        </w:rPr>
        <w:t xml:space="preserve">Table </w:t>
      </w:r>
      <w:r w:rsidR="00DA74EB">
        <w:rPr>
          <w:rFonts w:cstheme="minorHAnsi"/>
          <w:b/>
          <w:bCs/>
          <w:spacing w:val="1"/>
          <w:sz w:val="23"/>
          <w:szCs w:val="23"/>
        </w:rPr>
        <w:t>2.</w:t>
      </w:r>
      <w:r w:rsidRPr="00C4418D">
        <w:rPr>
          <w:rFonts w:cstheme="minorHAnsi"/>
          <w:b/>
          <w:bCs/>
          <w:spacing w:val="1"/>
          <w:sz w:val="23"/>
          <w:szCs w:val="23"/>
        </w:rPr>
        <w:t xml:space="preserve">5 Summary of Indicative Sector Ceilings for FY </w:t>
      </w:r>
      <w:r w:rsidR="0088282B">
        <w:rPr>
          <w:rFonts w:cstheme="minorHAnsi"/>
          <w:b/>
          <w:bCs/>
          <w:spacing w:val="1"/>
          <w:sz w:val="23"/>
          <w:szCs w:val="23"/>
        </w:rPr>
        <w:t xml:space="preserve">2023/24 </w:t>
      </w:r>
      <w:r w:rsidRPr="00C4418D">
        <w:rPr>
          <w:rFonts w:cstheme="minorHAnsi"/>
          <w:b/>
          <w:bCs/>
          <w:spacing w:val="1"/>
          <w:sz w:val="23"/>
          <w:szCs w:val="23"/>
        </w:rPr>
        <w:t>MTEF</w:t>
      </w:r>
    </w:p>
    <w:tbl>
      <w:tblPr>
        <w:tblW w:w="14737" w:type="dxa"/>
        <w:tblLook w:val="04A0" w:firstRow="1" w:lastRow="0" w:firstColumn="1" w:lastColumn="0" w:noHBand="0" w:noVBand="1"/>
      </w:tblPr>
      <w:tblGrid>
        <w:gridCol w:w="2460"/>
        <w:gridCol w:w="1221"/>
        <w:gridCol w:w="1134"/>
        <w:gridCol w:w="1400"/>
        <w:gridCol w:w="1435"/>
        <w:gridCol w:w="1417"/>
        <w:gridCol w:w="1134"/>
        <w:gridCol w:w="1134"/>
        <w:gridCol w:w="1120"/>
        <w:gridCol w:w="1140"/>
        <w:gridCol w:w="1142"/>
      </w:tblGrid>
      <w:tr w:rsidR="00AF7081" w:rsidRPr="00AF7081" w:rsidTr="00AF7081">
        <w:trPr>
          <w:trHeight w:val="397"/>
        </w:trPr>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rPr>
                <w:rFonts w:eastAsia="Times New Roman" w:cstheme="minorHAnsi"/>
                <w:color w:val="000000"/>
                <w:sz w:val="18"/>
                <w:szCs w:val="18"/>
              </w:rPr>
            </w:pPr>
            <w:r w:rsidRPr="00AF7081">
              <w:rPr>
                <w:rFonts w:eastAsia="Times New Roman" w:cstheme="minorHAnsi"/>
                <w:color w:val="000000"/>
                <w:sz w:val="18"/>
                <w:szCs w:val="18"/>
              </w:rPr>
              <w:t> </w:t>
            </w:r>
          </w:p>
        </w:tc>
        <w:tc>
          <w:tcPr>
            <w:tcW w:w="6607" w:type="dxa"/>
            <w:gridSpan w:val="5"/>
            <w:tcBorders>
              <w:top w:val="single" w:sz="4" w:space="0" w:color="auto"/>
              <w:left w:val="nil"/>
              <w:bottom w:val="single" w:sz="4" w:space="0" w:color="auto"/>
              <w:right w:val="single" w:sz="4" w:space="0" w:color="000000"/>
            </w:tcBorders>
            <w:shd w:val="clear" w:color="auto" w:fill="auto"/>
            <w:vAlign w:val="center"/>
            <w:hideMark/>
          </w:tcPr>
          <w:p w:rsidR="00AF7081" w:rsidRPr="00AF7081" w:rsidRDefault="00AF7081" w:rsidP="00AF7081">
            <w:pPr>
              <w:spacing w:after="0" w:line="240" w:lineRule="auto"/>
              <w:jc w:val="center"/>
              <w:rPr>
                <w:rFonts w:eastAsia="Times New Roman" w:cstheme="minorHAnsi"/>
                <w:b/>
                <w:bCs/>
                <w:color w:val="000000"/>
                <w:sz w:val="18"/>
                <w:szCs w:val="18"/>
              </w:rPr>
            </w:pPr>
            <w:r w:rsidRPr="00AF7081">
              <w:rPr>
                <w:rFonts w:eastAsia="Times New Roman" w:cstheme="minorHAnsi"/>
                <w:b/>
                <w:bCs/>
                <w:color w:val="000000"/>
                <w:sz w:val="18"/>
                <w:szCs w:val="18"/>
              </w:rPr>
              <w:t xml:space="preserve">Total Expenditure </w:t>
            </w:r>
            <w:proofErr w:type="spellStart"/>
            <w:r w:rsidRPr="00AF7081">
              <w:rPr>
                <w:rFonts w:eastAsia="Times New Roman" w:cstheme="minorHAnsi"/>
                <w:b/>
                <w:bCs/>
                <w:color w:val="000000"/>
                <w:sz w:val="18"/>
                <w:szCs w:val="18"/>
              </w:rPr>
              <w:t>Kshs</w:t>
            </w:r>
            <w:proofErr w:type="spellEnd"/>
            <w:r w:rsidRPr="00AF7081">
              <w:rPr>
                <w:rFonts w:eastAsia="Times New Roman" w:cstheme="minorHAnsi"/>
                <w:b/>
                <w:bCs/>
                <w:color w:val="000000"/>
                <w:sz w:val="18"/>
                <w:szCs w:val="18"/>
              </w:rPr>
              <w:t>.</w:t>
            </w:r>
          </w:p>
        </w:tc>
        <w:tc>
          <w:tcPr>
            <w:tcW w:w="5670" w:type="dxa"/>
            <w:gridSpan w:val="5"/>
            <w:tcBorders>
              <w:top w:val="single" w:sz="4" w:space="0" w:color="auto"/>
              <w:left w:val="nil"/>
              <w:bottom w:val="single" w:sz="4" w:space="0" w:color="auto"/>
              <w:right w:val="single" w:sz="4" w:space="0" w:color="000000"/>
            </w:tcBorders>
            <w:shd w:val="clear" w:color="auto" w:fill="auto"/>
            <w:vAlign w:val="center"/>
            <w:hideMark/>
          </w:tcPr>
          <w:p w:rsidR="00AF7081" w:rsidRPr="00AF7081" w:rsidRDefault="00AF7081" w:rsidP="00AF7081">
            <w:pPr>
              <w:spacing w:after="0" w:line="240" w:lineRule="auto"/>
              <w:jc w:val="center"/>
              <w:rPr>
                <w:rFonts w:eastAsia="Times New Roman" w:cstheme="minorHAnsi"/>
                <w:b/>
                <w:bCs/>
                <w:color w:val="000000"/>
                <w:sz w:val="18"/>
                <w:szCs w:val="18"/>
              </w:rPr>
            </w:pPr>
            <w:r w:rsidRPr="00AF7081">
              <w:rPr>
                <w:rFonts w:eastAsia="Times New Roman" w:cstheme="minorHAnsi"/>
                <w:b/>
                <w:bCs/>
                <w:color w:val="000000"/>
                <w:sz w:val="18"/>
                <w:szCs w:val="18"/>
              </w:rPr>
              <w:t>% Share of Total Expenditure</w:t>
            </w:r>
          </w:p>
        </w:tc>
      </w:tr>
      <w:tr w:rsidR="00AF7081" w:rsidRPr="00AF7081" w:rsidTr="00AF7081">
        <w:trPr>
          <w:trHeight w:val="397"/>
        </w:trPr>
        <w:tc>
          <w:tcPr>
            <w:tcW w:w="2460" w:type="dxa"/>
            <w:vMerge w:val="restart"/>
            <w:tcBorders>
              <w:top w:val="nil"/>
              <w:left w:val="single" w:sz="4" w:space="0" w:color="auto"/>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rPr>
                <w:rFonts w:eastAsia="Times New Roman" w:cstheme="minorHAnsi"/>
                <w:b/>
                <w:bCs/>
                <w:color w:val="000000"/>
                <w:sz w:val="18"/>
                <w:szCs w:val="18"/>
              </w:rPr>
            </w:pPr>
            <w:r w:rsidRPr="00AF7081">
              <w:rPr>
                <w:rFonts w:eastAsia="Times New Roman" w:cstheme="minorHAnsi"/>
                <w:b/>
                <w:bCs/>
                <w:color w:val="000000"/>
                <w:sz w:val="18"/>
                <w:szCs w:val="18"/>
              </w:rPr>
              <w:t>MDAs</w:t>
            </w:r>
          </w:p>
        </w:tc>
        <w:tc>
          <w:tcPr>
            <w:tcW w:w="1221"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b/>
                <w:bCs/>
                <w:color w:val="000000"/>
                <w:sz w:val="18"/>
                <w:szCs w:val="18"/>
              </w:rPr>
            </w:pPr>
            <w:r w:rsidRPr="00AF7081">
              <w:rPr>
                <w:rFonts w:eastAsia="Times New Roman" w:cstheme="minorHAnsi"/>
                <w:b/>
                <w:bCs/>
                <w:color w:val="000000"/>
                <w:sz w:val="18"/>
                <w:szCs w:val="18"/>
              </w:rPr>
              <w:t>Actual expenditure</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b/>
                <w:bCs/>
                <w:color w:val="000000"/>
                <w:sz w:val="18"/>
                <w:szCs w:val="18"/>
              </w:rPr>
            </w:pPr>
            <w:r w:rsidRPr="00AF7081">
              <w:rPr>
                <w:rFonts w:eastAsia="Times New Roman" w:cstheme="minorHAnsi"/>
                <w:b/>
                <w:bCs/>
                <w:color w:val="000000"/>
                <w:sz w:val="18"/>
                <w:szCs w:val="18"/>
              </w:rPr>
              <w:t>Estimates</w:t>
            </w:r>
          </w:p>
        </w:tc>
        <w:tc>
          <w:tcPr>
            <w:tcW w:w="4252" w:type="dxa"/>
            <w:gridSpan w:val="3"/>
            <w:tcBorders>
              <w:top w:val="single" w:sz="4" w:space="0" w:color="auto"/>
              <w:left w:val="nil"/>
              <w:bottom w:val="single" w:sz="4" w:space="0" w:color="auto"/>
              <w:right w:val="single" w:sz="4" w:space="0" w:color="000000"/>
            </w:tcBorders>
            <w:shd w:val="clear" w:color="auto" w:fill="auto"/>
            <w:vAlign w:val="center"/>
            <w:hideMark/>
          </w:tcPr>
          <w:p w:rsidR="00AF7081" w:rsidRPr="00AF7081" w:rsidRDefault="00AF7081" w:rsidP="00AF7081">
            <w:pPr>
              <w:spacing w:after="0" w:line="240" w:lineRule="auto"/>
              <w:jc w:val="center"/>
              <w:rPr>
                <w:rFonts w:eastAsia="Times New Roman" w:cstheme="minorHAnsi"/>
                <w:b/>
                <w:bCs/>
                <w:color w:val="000000"/>
                <w:sz w:val="18"/>
                <w:szCs w:val="18"/>
              </w:rPr>
            </w:pPr>
            <w:r w:rsidRPr="00AF7081">
              <w:rPr>
                <w:rFonts w:eastAsia="Times New Roman" w:cstheme="minorHAnsi"/>
                <w:b/>
                <w:bCs/>
                <w:color w:val="000000"/>
                <w:sz w:val="18"/>
                <w:szCs w:val="18"/>
              </w:rPr>
              <w:t>Projections</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b/>
                <w:bCs/>
                <w:color w:val="000000"/>
                <w:sz w:val="18"/>
                <w:szCs w:val="18"/>
              </w:rPr>
            </w:pPr>
            <w:r w:rsidRPr="00AF7081">
              <w:rPr>
                <w:rFonts w:eastAsia="Times New Roman" w:cstheme="minorHAnsi"/>
                <w:b/>
                <w:bCs/>
                <w:color w:val="000000"/>
                <w:sz w:val="18"/>
                <w:szCs w:val="18"/>
              </w:rPr>
              <w:t>Estimates</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b/>
                <w:bCs/>
                <w:color w:val="000000"/>
                <w:sz w:val="18"/>
                <w:szCs w:val="18"/>
              </w:rPr>
            </w:pPr>
            <w:r w:rsidRPr="00AF7081">
              <w:rPr>
                <w:rFonts w:eastAsia="Times New Roman" w:cstheme="minorHAnsi"/>
                <w:b/>
                <w:bCs/>
                <w:color w:val="000000"/>
                <w:sz w:val="18"/>
                <w:szCs w:val="18"/>
              </w:rPr>
              <w:t>Ceilings</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AF7081" w:rsidRPr="00AF7081" w:rsidRDefault="00AF7081" w:rsidP="00AF7081">
            <w:pPr>
              <w:spacing w:after="0" w:line="240" w:lineRule="auto"/>
              <w:jc w:val="center"/>
              <w:rPr>
                <w:rFonts w:eastAsia="Times New Roman" w:cstheme="minorHAnsi"/>
                <w:b/>
                <w:bCs/>
                <w:color w:val="000000"/>
                <w:sz w:val="18"/>
                <w:szCs w:val="18"/>
              </w:rPr>
            </w:pPr>
            <w:r w:rsidRPr="00AF7081">
              <w:rPr>
                <w:rFonts w:eastAsia="Times New Roman" w:cstheme="minorHAnsi"/>
                <w:b/>
                <w:bCs/>
                <w:color w:val="000000"/>
                <w:sz w:val="18"/>
                <w:szCs w:val="18"/>
              </w:rPr>
              <w:t>Projections</w:t>
            </w:r>
          </w:p>
        </w:tc>
      </w:tr>
      <w:tr w:rsidR="00AF7081" w:rsidRPr="00AF7081" w:rsidTr="00AF7081">
        <w:trPr>
          <w:trHeight w:val="397"/>
        </w:trPr>
        <w:tc>
          <w:tcPr>
            <w:tcW w:w="2460" w:type="dxa"/>
            <w:vMerge/>
            <w:tcBorders>
              <w:top w:val="nil"/>
              <w:left w:val="single" w:sz="4" w:space="0" w:color="auto"/>
              <w:bottom w:val="single" w:sz="4" w:space="0" w:color="auto"/>
              <w:right w:val="single" w:sz="4" w:space="0" w:color="auto"/>
            </w:tcBorders>
            <w:vAlign w:val="center"/>
            <w:hideMark/>
          </w:tcPr>
          <w:p w:rsidR="00AF7081" w:rsidRPr="00AF7081" w:rsidRDefault="00AF7081" w:rsidP="00AF7081">
            <w:pPr>
              <w:spacing w:after="0" w:line="240" w:lineRule="auto"/>
              <w:rPr>
                <w:rFonts w:eastAsia="Times New Roman" w:cstheme="minorHAnsi"/>
                <w:b/>
                <w:bCs/>
                <w:color w:val="000000"/>
                <w:sz w:val="18"/>
                <w:szCs w:val="18"/>
              </w:rPr>
            </w:pPr>
          </w:p>
        </w:tc>
        <w:tc>
          <w:tcPr>
            <w:tcW w:w="1221"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b/>
                <w:bCs/>
                <w:color w:val="000000"/>
                <w:sz w:val="18"/>
                <w:szCs w:val="18"/>
              </w:rPr>
            </w:pPr>
            <w:r w:rsidRPr="00AF7081">
              <w:rPr>
                <w:rFonts w:eastAsia="Times New Roman" w:cstheme="minorHAnsi"/>
                <w:b/>
                <w:bCs/>
                <w:color w:val="000000"/>
                <w:sz w:val="18"/>
                <w:szCs w:val="18"/>
              </w:rPr>
              <w:t>FY 2020/21</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b/>
                <w:bCs/>
                <w:color w:val="000000"/>
                <w:sz w:val="18"/>
                <w:szCs w:val="18"/>
              </w:rPr>
            </w:pPr>
            <w:r w:rsidRPr="00AF7081">
              <w:rPr>
                <w:rFonts w:eastAsia="Times New Roman" w:cstheme="minorHAnsi"/>
                <w:b/>
                <w:bCs/>
                <w:color w:val="000000"/>
                <w:sz w:val="18"/>
                <w:szCs w:val="18"/>
              </w:rPr>
              <w:t>FY 2021/22</w:t>
            </w:r>
          </w:p>
        </w:tc>
        <w:tc>
          <w:tcPr>
            <w:tcW w:w="1400"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b/>
                <w:bCs/>
                <w:color w:val="000000"/>
                <w:sz w:val="18"/>
                <w:szCs w:val="18"/>
              </w:rPr>
            </w:pPr>
            <w:r w:rsidRPr="00AF7081">
              <w:rPr>
                <w:rFonts w:eastAsia="Times New Roman" w:cstheme="minorHAnsi"/>
                <w:b/>
                <w:bCs/>
                <w:color w:val="000000"/>
                <w:sz w:val="18"/>
                <w:szCs w:val="18"/>
              </w:rPr>
              <w:t>FY 2023/24</w:t>
            </w:r>
          </w:p>
        </w:tc>
        <w:tc>
          <w:tcPr>
            <w:tcW w:w="1435"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b/>
                <w:bCs/>
                <w:color w:val="000000"/>
                <w:sz w:val="18"/>
                <w:szCs w:val="18"/>
              </w:rPr>
            </w:pPr>
            <w:r w:rsidRPr="00AF7081">
              <w:rPr>
                <w:rFonts w:eastAsia="Times New Roman" w:cstheme="minorHAnsi"/>
                <w:b/>
                <w:bCs/>
                <w:color w:val="000000"/>
                <w:sz w:val="18"/>
                <w:szCs w:val="18"/>
              </w:rPr>
              <w:t>FY 2024/25</w:t>
            </w:r>
          </w:p>
        </w:tc>
        <w:tc>
          <w:tcPr>
            <w:tcW w:w="1417"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b/>
                <w:bCs/>
                <w:color w:val="000000"/>
                <w:sz w:val="18"/>
                <w:szCs w:val="18"/>
              </w:rPr>
            </w:pPr>
            <w:r w:rsidRPr="00AF7081">
              <w:rPr>
                <w:rFonts w:eastAsia="Times New Roman" w:cstheme="minorHAnsi"/>
                <w:b/>
                <w:bCs/>
                <w:color w:val="000000"/>
                <w:sz w:val="18"/>
                <w:szCs w:val="18"/>
              </w:rPr>
              <w:t>FY 2025/26</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b/>
                <w:bCs/>
                <w:color w:val="000000"/>
                <w:sz w:val="18"/>
                <w:szCs w:val="18"/>
              </w:rPr>
            </w:pPr>
            <w:r w:rsidRPr="00AF7081">
              <w:rPr>
                <w:rFonts w:eastAsia="Times New Roman" w:cstheme="minorHAnsi"/>
                <w:b/>
                <w:bCs/>
                <w:color w:val="000000"/>
                <w:sz w:val="18"/>
                <w:szCs w:val="18"/>
              </w:rPr>
              <w:t>FY 2020/21</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b/>
                <w:bCs/>
                <w:color w:val="000000"/>
                <w:sz w:val="18"/>
                <w:szCs w:val="18"/>
              </w:rPr>
            </w:pPr>
            <w:r w:rsidRPr="00AF7081">
              <w:rPr>
                <w:rFonts w:eastAsia="Times New Roman" w:cstheme="minorHAnsi"/>
                <w:b/>
                <w:bCs/>
                <w:color w:val="000000"/>
                <w:sz w:val="18"/>
                <w:szCs w:val="18"/>
              </w:rPr>
              <w:t>FY 2021/22</w:t>
            </w:r>
          </w:p>
        </w:tc>
        <w:tc>
          <w:tcPr>
            <w:tcW w:w="1120"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b/>
                <w:bCs/>
                <w:color w:val="000000"/>
                <w:sz w:val="18"/>
                <w:szCs w:val="18"/>
              </w:rPr>
            </w:pPr>
            <w:r w:rsidRPr="00AF7081">
              <w:rPr>
                <w:rFonts w:eastAsia="Times New Roman" w:cstheme="minorHAnsi"/>
                <w:b/>
                <w:bCs/>
                <w:color w:val="000000"/>
                <w:sz w:val="18"/>
                <w:szCs w:val="18"/>
              </w:rPr>
              <w:t>FY 2023/24</w:t>
            </w:r>
          </w:p>
        </w:tc>
        <w:tc>
          <w:tcPr>
            <w:tcW w:w="1140"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b/>
                <w:bCs/>
                <w:color w:val="000000"/>
                <w:sz w:val="18"/>
                <w:szCs w:val="18"/>
              </w:rPr>
            </w:pPr>
            <w:r w:rsidRPr="00AF7081">
              <w:rPr>
                <w:rFonts w:eastAsia="Times New Roman" w:cstheme="minorHAnsi"/>
                <w:b/>
                <w:bCs/>
                <w:color w:val="000000"/>
                <w:sz w:val="18"/>
                <w:szCs w:val="18"/>
              </w:rPr>
              <w:t>FY 2024/25</w:t>
            </w:r>
          </w:p>
        </w:tc>
        <w:tc>
          <w:tcPr>
            <w:tcW w:w="1142"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b/>
                <w:bCs/>
                <w:color w:val="000000"/>
                <w:sz w:val="18"/>
                <w:szCs w:val="18"/>
              </w:rPr>
            </w:pPr>
            <w:r w:rsidRPr="00AF7081">
              <w:rPr>
                <w:rFonts w:eastAsia="Times New Roman" w:cstheme="minorHAnsi"/>
                <w:b/>
                <w:bCs/>
                <w:color w:val="000000"/>
                <w:sz w:val="18"/>
                <w:szCs w:val="18"/>
              </w:rPr>
              <w:t>FY 2025/26</w:t>
            </w:r>
          </w:p>
        </w:tc>
      </w:tr>
      <w:tr w:rsidR="00AF7081" w:rsidRPr="00AF7081" w:rsidTr="00AF7081">
        <w:trPr>
          <w:trHeight w:val="397"/>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rPr>
                <w:rFonts w:eastAsia="Times New Roman" w:cstheme="minorHAnsi"/>
                <w:color w:val="000000"/>
                <w:sz w:val="18"/>
                <w:szCs w:val="18"/>
              </w:rPr>
            </w:pPr>
            <w:r w:rsidRPr="00AF7081">
              <w:rPr>
                <w:rFonts w:eastAsia="Times New Roman" w:cstheme="minorHAnsi"/>
                <w:color w:val="000000"/>
                <w:sz w:val="18"/>
                <w:szCs w:val="18"/>
              </w:rPr>
              <w:t>County executive</w:t>
            </w:r>
          </w:p>
        </w:tc>
        <w:tc>
          <w:tcPr>
            <w:tcW w:w="1221"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1,364</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1,385</w:t>
            </w:r>
          </w:p>
        </w:tc>
        <w:tc>
          <w:tcPr>
            <w:tcW w:w="1400"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1,256,222,010</w:t>
            </w:r>
          </w:p>
        </w:tc>
        <w:tc>
          <w:tcPr>
            <w:tcW w:w="1435"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1,235,560,212</w:t>
            </w:r>
          </w:p>
        </w:tc>
        <w:tc>
          <w:tcPr>
            <w:tcW w:w="1417"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1,208,068,541</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18%</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15%</w:t>
            </w:r>
          </w:p>
        </w:tc>
        <w:tc>
          <w:tcPr>
            <w:tcW w:w="1120"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14%</w:t>
            </w:r>
          </w:p>
        </w:tc>
        <w:tc>
          <w:tcPr>
            <w:tcW w:w="1140"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13%</w:t>
            </w:r>
          </w:p>
        </w:tc>
        <w:tc>
          <w:tcPr>
            <w:tcW w:w="1142"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12%</w:t>
            </w:r>
          </w:p>
        </w:tc>
      </w:tr>
      <w:tr w:rsidR="00AF7081" w:rsidRPr="00AF7081" w:rsidTr="00AF7081">
        <w:trPr>
          <w:trHeight w:val="397"/>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rPr>
                <w:rFonts w:eastAsia="Times New Roman" w:cstheme="minorHAnsi"/>
                <w:color w:val="000000"/>
                <w:sz w:val="18"/>
                <w:szCs w:val="18"/>
              </w:rPr>
            </w:pPr>
            <w:r w:rsidRPr="00AF7081">
              <w:rPr>
                <w:rFonts w:eastAsia="Times New Roman" w:cstheme="minorHAnsi"/>
                <w:color w:val="000000"/>
                <w:sz w:val="18"/>
                <w:szCs w:val="18"/>
              </w:rPr>
              <w:t>Finance Economic Planning</w:t>
            </w:r>
          </w:p>
        </w:tc>
        <w:tc>
          <w:tcPr>
            <w:tcW w:w="1221"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2,037</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2,298</w:t>
            </w:r>
          </w:p>
        </w:tc>
        <w:tc>
          <w:tcPr>
            <w:tcW w:w="1400"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2,243,253,590</w:t>
            </w:r>
          </w:p>
        </w:tc>
        <w:tc>
          <w:tcPr>
            <w:tcW w:w="1435"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2,376,077,330</w:t>
            </w:r>
          </w:p>
        </w:tc>
        <w:tc>
          <w:tcPr>
            <w:tcW w:w="1417"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2,516,809,461</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26%</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25%</w:t>
            </w:r>
          </w:p>
        </w:tc>
        <w:tc>
          <w:tcPr>
            <w:tcW w:w="1120"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25%</w:t>
            </w:r>
          </w:p>
        </w:tc>
        <w:tc>
          <w:tcPr>
            <w:tcW w:w="1140"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25%</w:t>
            </w:r>
          </w:p>
        </w:tc>
        <w:tc>
          <w:tcPr>
            <w:tcW w:w="1142"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25%</w:t>
            </w:r>
          </w:p>
        </w:tc>
      </w:tr>
      <w:tr w:rsidR="00AF7081" w:rsidRPr="00AF7081" w:rsidTr="00AF7081">
        <w:trPr>
          <w:trHeight w:val="397"/>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rPr>
                <w:rFonts w:eastAsia="Times New Roman" w:cstheme="minorHAnsi"/>
                <w:color w:val="000000"/>
                <w:sz w:val="18"/>
                <w:szCs w:val="18"/>
              </w:rPr>
            </w:pPr>
            <w:r w:rsidRPr="00AF7081">
              <w:rPr>
                <w:rFonts w:eastAsia="Times New Roman" w:cstheme="minorHAnsi"/>
                <w:color w:val="000000"/>
                <w:sz w:val="18"/>
                <w:szCs w:val="18"/>
              </w:rPr>
              <w:t>Education, Skills &amp; Sport</w:t>
            </w:r>
          </w:p>
        </w:tc>
        <w:tc>
          <w:tcPr>
            <w:tcW w:w="1221"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428</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507</w:t>
            </w:r>
          </w:p>
        </w:tc>
        <w:tc>
          <w:tcPr>
            <w:tcW w:w="1400"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538,380,862</w:t>
            </w:r>
          </w:p>
        </w:tc>
        <w:tc>
          <w:tcPr>
            <w:tcW w:w="1435"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570,258,559</w:t>
            </w:r>
          </w:p>
        </w:tc>
        <w:tc>
          <w:tcPr>
            <w:tcW w:w="1417"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604,034,271</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5%</w:t>
            </w:r>
          </w:p>
        </w:tc>
        <w:tc>
          <w:tcPr>
            <w:tcW w:w="1120"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6%</w:t>
            </w:r>
          </w:p>
        </w:tc>
        <w:tc>
          <w:tcPr>
            <w:tcW w:w="1140"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6%</w:t>
            </w:r>
          </w:p>
        </w:tc>
        <w:tc>
          <w:tcPr>
            <w:tcW w:w="1142"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6%</w:t>
            </w:r>
          </w:p>
        </w:tc>
      </w:tr>
      <w:tr w:rsidR="00AF7081" w:rsidRPr="00AF7081" w:rsidTr="00AF7081">
        <w:trPr>
          <w:trHeight w:val="397"/>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rPr>
                <w:rFonts w:eastAsia="Times New Roman" w:cstheme="minorHAnsi"/>
                <w:color w:val="000000"/>
                <w:sz w:val="18"/>
                <w:szCs w:val="18"/>
              </w:rPr>
            </w:pPr>
            <w:r w:rsidRPr="00AF7081">
              <w:rPr>
                <w:rFonts w:eastAsia="Times New Roman" w:cstheme="minorHAnsi"/>
                <w:color w:val="000000"/>
                <w:sz w:val="18"/>
                <w:szCs w:val="18"/>
              </w:rPr>
              <w:t>County Public Service Board</w:t>
            </w:r>
          </w:p>
        </w:tc>
        <w:tc>
          <w:tcPr>
            <w:tcW w:w="1221"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90</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103</w:t>
            </w:r>
          </w:p>
        </w:tc>
        <w:tc>
          <w:tcPr>
            <w:tcW w:w="1400"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89,730,144</w:t>
            </w:r>
          </w:p>
        </w:tc>
        <w:tc>
          <w:tcPr>
            <w:tcW w:w="1435"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95,043,093</w:t>
            </w:r>
          </w:p>
        </w:tc>
        <w:tc>
          <w:tcPr>
            <w:tcW w:w="1417"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100,672,378</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1%</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1%</w:t>
            </w:r>
          </w:p>
        </w:tc>
        <w:tc>
          <w:tcPr>
            <w:tcW w:w="1120"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1%</w:t>
            </w:r>
          </w:p>
        </w:tc>
        <w:tc>
          <w:tcPr>
            <w:tcW w:w="1140"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1%</w:t>
            </w:r>
          </w:p>
        </w:tc>
        <w:tc>
          <w:tcPr>
            <w:tcW w:w="1142"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1%</w:t>
            </w:r>
          </w:p>
        </w:tc>
      </w:tr>
      <w:tr w:rsidR="00AF7081" w:rsidRPr="00AF7081" w:rsidTr="00AF7081">
        <w:trPr>
          <w:trHeight w:val="397"/>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rPr>
                <w:rFonts w:eastAsia="Times New Roman" w:cstheme="minorHAnsi"/>
                <w:color w:val="000000"/>
                <w:sz w:val="18"/>
                <w:szCs w:val="18"/>
              </w:rPr>
            </w:pPr>
            <w:r w:rsidRPr="00AF7081">
              <w:rPr>
                <w:rFonts w:eastAsia="Times New Roman" w:cstheme="minorHAnsi"/>
                <w:color w:val="000000"/>
                <w:sz w:val="18"/>
                <w:szCs w:val="18"/>
              </w:rPr>
              <w:t>County Assembly</w:t>
            </w:r>
          </w:p>
        </w:tc>
        <w:tc>
          <w:tcPr>
            <w:tcW w:w="1221"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779</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1,073</w:t>
            </w:r>
          </w:p>
        </w:tc>
        <w:tc>
          <w:tcPr>
            <w:tcW w:w="1400"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897,301,436</w:t>
            </w:r>
          </w:p>
        </w:tc>
        <w:tc>
          <w:tcPr>
            <w:tcW w:w="1435"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950,430,932</w:t>
            </w:r>
          </w:p>
        </w:tc>
        <w:tc>
          <w:tcPr>
            <w:tcW w:w="1417"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1,006,723,784</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10%</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12%</w:t>
            </w:r>
          </w:p>
        </w:tc>
        <w:tc>
          <w:tcPr>
            <w:tcW w:w="1120"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10%</w:t>
            </w:r>
          </w:p>
        </w:tc>
        <w:tc>
          <w:tcPr>
            <w:tcW w:w="1140"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10%</w:t>
            </w:r>
          </w:p>
        </w:tc>
        <w:tc>
          <w:tcPr>
            <w:tcW w:w="1142"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10%</w:t>
            </w:r>
          </w:p>
        </w:tc>
      </w:tr>
      <w:tr w:rsidR="00AF7081" w:rsidRPr="00AF7081" w:rsidTr="00AF7081">
        <w:trPr>
          <w:trHeight w:val="397"/>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rPr>
                <w:rFonts w:eastAsia="Times New Roman" w:cstheme="minorHAnsi"/>
                <w:color w:val="000000"/>
                <w:sz w:val="18"/>
                <w:szCs w:val="18"/>
              </w:rPr>
            </w:pPr>
            <w:proofErr w:type="spellStart"/>
            <w:r w:rsidRPr="00AF7081">
              <w:rPr>
                <w:rFonts w:eastAsia="Times New Roman" w:cstheme="minorHAnsi"/>
                <w:color w:val="000000"/>
                <w:sz w:val="18"/>
                <w:szCs w:val="18"/>
              </w:rPr>
              <w:t>Agric</w:t>
            </w:r>
            <w:proofErr w:type="spellEnd"/>
            <w:r w:rsidRPr="00AF7081">
              <w:rPr>
                <w:rFonts w:eastAsia="Times New Roman" w:cstheme="minorHAnsi"/>
                <w:color w:val="000000"/>
                <w:sz w:val="18"/>
                <w:szCs w:val="18"/>
              </w:rPr>
              <w:t xml:space="preserve">, Livestock &amp; Fisheries </w:t>
            </w:r>
            <w:proofErr w:type="spellStart"/>
            <w:r w:rsidRPr="00AF7081">
              <w:rPr>
                <w:rFonts w:eastAsia="Times New Roman" w:cstheme="minorHAnsi"/>
                <w:color w:val="000000"/>
                <w:sz w:val="18"/>
                <w:szCs w:val="18"/>
              </w:rPr>
              <w:t>devt</w:t>
            </w:r>
            <w:proofErr w:type="spellEnd"/>
          </w:p>
        </w:tc>
        <w:tc>
          <w:tcPr>
            <w:tcW w:w="1221"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285</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345</w:t>
            </w:r>
          </w:p>
        </w:tc>
        <w:tc>
          <w:tcPr>
            <w:tcW w:w="1400"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448,650,718</w:t>
            </w:r>
          </w:p>
        </w:tc>
        <w:tc>
          <w:tcPr>
            <w:tcW w:w="1435"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570,258,559</w:t>
            </w:r>
          </w:p>
        </w:tc>
        <w:tc>
          <w:tcPr>
            <w:tcW w:w="1417"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704,706,649</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4%</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4%</w:t>
            </w:r>
          </w:p>
        </w:tc>
        <w:tc>
          <w:tcPr>
            <w:tcW w:w="1120"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5%</w:t>
            </w:r>
          </w:p>
        </w:tc>
        <w:tc>
          <w:tcPr>
            <w:tcW w:w="1140"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6%</w:t>
            </w:r>
          </w:p>
        </w:tc>
        <w:tc>
          <w:tcPr>
            <w:tcW w:w="1142"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7%</w:t>
            </w:r>
          </w:p>
        </w:tc>
      </w:tr>
      <w:tr w:rsidR="00AF7081" w:rsidRPr="00AF7081" w:rsidTr="00AF7081">
        <w:trPr>
          <w:trHeight w:val="397"/>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rPr>
                <w:rFonts w:eastAsia="Times New Roman" w:cstheme="minorHAnsi"/>
                <w:color w:val="000000"/>
                <w:sz w:val="18"/>
                <w:szCs w:val="18"/>
              </w:rPr>
            </w:pPr>
            <w:r w:rsidRPr="00AF7081">
              <w:rPr>
                <w:rFonts w:eastAsia="Times New Roman" w:cstheme="minorHAnsi"/>
                <w:color w:val="000000"/>
                <w:sz w:val="18"/>
                <w:szCs w:val="18"/>
              </w:rPr>
              <w:t xml:space="preserve">Trade, Enterprise n Cop </w:t>
            </w:r>
            <w:proofErr w:type="spellStart"/>
            <w:r w:rsidRPr="00AF7081">
              <w:rPr>
                <w:rFonts w:eastAsia="Times New Roman" w:cstheme="minorHAnsi"/>
                <w:color w:val="000000"/>
                <w:sz w:val="18"/>
                <w:szCs w:val="18"/>
              </w:rPr>
              <w:t>devt</w:t>
            </w:r>
            <w:proofErr w:type="spellEnd"/>
          </w:p>
        </w:tc>
        <w:tc>
          <w:tcPr>
            <w:tcW w:w="1221"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69</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92</w:t>
            </w:r>
          </w:p>
        </w:tc>
        <w:tc>
          <w:tcPr>
            <w:tcW w:w="1400"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89,730,144</w:t>
            </w:r>
          </w:p>
        </w:tc>
        <w:tc>
          <w:tcPr>
            <w:tcW w:w="1435"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95,043,093</w:t>
            </w:r>
          </w:p>
        </w:tc>
        <w:tc>
          <w:tcPr>
            <w:tcW w:w="1417"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100,672,378</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1%</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1%</w:t>
            </w:r>
          </w:p>
        </w:tc>
        <w:tc>
          <w:tcPr>
            <w:tcW w:w="1120"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1%</w:t>
            </w:r>
          </w:p>
        </w:tc>
        <w:tc>
          <w:tcPr>
            <w:tcW w:w="1140"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1%</w:t>
            </w:r>
          </w:p>
        </w:tc>
        <w:tc>
          <w:tcPr>
            <w:tcW w:w="1142"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1%</w:t>
            </w:r>
          </w:p>
        </w:tc>
      </w:tr>
      <w:tr w:rsidR="00AF7081" w:rsidRPr="00AF7081" w:rsidTr="00AF7081">
        <w:trPr>
          <w:trHeight w:val="397"/>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rPr>
                <w:rFonts w:eastAsia="Times New Roman" w:cstheme="minorHAnsi"/>
                <w:color w:val="000000"/>
                <w:sz w:val="18"/>
                <w:szCs w:val="18"/>
              </w:rPr>
            </w:pPr>
            <w:r w:rsidRPr="00AF7081">
              <w:rPr>
                <w:rFonts w:eastAsia="Times New Roman" w:cstheme="minorHAnsi"/>
                <w:color w:val="000000"/>
                <w:sz w:val="18"/>
                <w:szCs w:val="18"/>
              </w:rPr>
              <w:t>Road transport and public works</w:t>
            </w:r>
          </w:p>
        </w:tc>
        <w:tc>
          <w:tcPr>
            <w:tcW w:w="1221"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233</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570</w:t>
            </w:r>
          </w:p>
        </w:tc>
        <w:tc>
          <w:tcPr>
            <w:tcW w:w="1400"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538,380,862</w:t>
            </w:r>
          </w:p>
        </w:tc>
        <w:tc>
          <w:tcPr>
            <w:tcW w:w="1435"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570,258,559</w:t>
            </w:r>
          </w:p>
        </w:tc>
        <w:tc>
          <w:tcPr>
            <w:tcW w:w="1417"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604,034,271</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3%</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6%</w:t>
            </w:r>
          </w:p>
        </w:tc>
        <w:tc>
          <w:tcPr>
            <w:tcW w:w="1120"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6%</w:t>
            </w:r>
          </w:p>
        </w:tc>
        <w:tc>
          <w:tcPr>
            <w:tcW w:w="1140"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6%</w:t>
            </w:r>
          </w:p>
        </w:tc>
        <w:tc>
          <w:tcPr>
            <w:tcW w:w="1142"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6%</w:t>
            </w:r>
          </w:p>
        </w:tc>
      </w:tr>
      <w:tr w:rsidR="00AF7081" w:rsidRPr="00AF7081" w:rsidTr="00AF7081">
        <w:trPr>
          <w:trHeight w:val="397"/>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rPr>
                <w:rFonts w:eastAsia="Times New Roman" w:cstheme="minorHAnsi"/>
                <w:color w:val="000000"/>
                <w:sz w:val="18"/>
                <w:szCs w:val="18"/>
              </w:rPr>
            </w:pPr>
            <w:r w:rsidRPr="00AF7081">
              <w:rPr>
                <w:rFonts w:eastAsia="Times New Roman" w:cstheme="minorHAnsi"/>
                <w:color w:val="000000"/>
                <w:sz w:val="18"/>
                <w:szCs w:val="18"/>
              </w:rPr>
              <w:t>Lands, Energy &amp; Urban Dev</w:t>
            </w:r>
          </w:p>
        </w:tc>
        <w:tc>
          <w:tcPr>
            <w:tcW w:w="1221"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221</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271</w:t>
            </w:r>
          </w:p>
        </w:tc>
        <w:tc>
          <w:tcPr>
            <w:tcW w:w="1400"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269,190,431</w:t>
            </w:r>
          </w:p>
        </w:tc>
        <w:tc>
          <w:tcPr>
            <w:tcW w:w="1435"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285,129,280</w:t>
            </w:r>
          </w:p>
        </w:tc>
        <w:tc>
          <w:tcPr>
            <w:tcW w:w="1417"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302,017,135</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3%</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3%</w:t>
            </w:r>
          </w:p>
        </w:tc>
        <w:tc>
          <w:tcPr>
            <w:tcW w:w="1120"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3%</w:t>
            </w:r>
          </w:p>
        </w:tc>
        <w:tc>
          <w:tcPr>
            <w:tcW w:w="1140"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3%</w:t>
            </w:r>
          </w:p>
        </w:tc>
        <w:tc>
          <w:tcPr>
            <w:tcW w:w="1142"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3%</w:t>
            </w:r>
          </w:p>
        </w:tc>
      </w:tr>
      <w:tr w:rsidR="00AF7081" w:rsidRPr="00AF7081" w:rsidTr="00AF7081">
        <w:trPr>
          <w:trHeight w:val="397"/>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rPr>
                <w:rFonts w:eastAsia="Times New Roman" w:cstheme="minorHAnsi"/>
                <w:color w:val="000000"/>
                <w:sz w:val="18"/>
                <w:szCs w:val="18"/>
              </w:rPr>
            </w:pPr>
            <w:r w:rsidRPr="00AF7081">
              <w:rPr>
                <w:rFonts w:eastAsia="Times New Roman" w:cstheme="minorHAnsi"/>
                <w:color w:val="000000"/>
                <w:sz w:val="18"/>
                <w:szCs w:val="18"/>
              </w:rPr>
              <w:t>Tourism culture</w:t>
            </w:r>
          </w:p>
        </w:tc>
        <w:tc>
          <w:tcPr>
            <w:tcW w:w="1221"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75</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85</w:t>
            </w:r>
          </w:p>
        </w:tc>
        <w:tc>
          <w:tcPr>
            <w:tcW w:w="1400"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89,730,144</w:t>
            </w:r>
          </w:p>
        </w:tc>
        <w:tc>
          <w:tcPr>
            <w:tcW w:w="1435"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95,043,093</w:t>
            </w:r>
          </w:p>
        </w:tc>
        <w:tc>
          <w:tcPr>
            <w:tcW w:w="1417"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100,672,378</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1%</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1%</w:t>
            </w:r>
          </w:p>
        </w:tc>
        <w:tc>
          <w:tcPr>
            <w:tcW w:w="1120"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1%</w:t>
            </w:r>
          </w:p>
        </w:tc>
        <w:tc>
          <w:tcPr>
            <w:tcW w:w="1140"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1%</w:t>
            </w:r>
          </w:p>
        </w:tc>
        <w:tc>
          <w:tcPr>
            <w:tcW w:w="1142"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1%</w:t>
            </w:r>
          </w:p>
        </w:tc>
      </w:tr>
      <w:tr w:rsidR="00AF7081" w:rsidRPr="00AF7081" w:rsidTr="00AF7081">
        <w:trPr>
          <w:trHeight w:val="397"/>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rPr>
                <w:rFonts w:eastAsia="Times New Roman" w:cstheme="minorHAnsi"/>
                <w:color w:val="000000"/>
                <w:sz w:val="18"/>
                <w:szCs w:val="18"/>
              </w:rPr>
            </w:pPr>
            <w:r w:rsidRPr="00AF7081">
              <w:rPr>
                <w:rFonts w:eastAsia="Times New Roman" w:cstheme="minorHAnsi"/>
                <w:color w:val="000000"/>
                <w:sz w:val="18"/>
                <w:szCs w:val="18"/>
              </w:rPr>
              <w:t xml:space="preserve">Water, Environ &amp; Natural </w:t>
            </w:r>
          </w:p>
        </w:tc>
        <w:tc>
          <w:tcPr>
            <w:tcW w:w="1221"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266</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442</w:t>
            </w:r>
          </w:p>
        </w:tc>
        <w:tc>
          <w:tcPr>
            <w:tcW w:w="1400"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448,650,718</w:t>
            </w:r>
          </w:p>
        </w:tc>
        <w:tc>
          <w:tcPr>
            <w:tcW w:w="1435"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475,215,466</w:t>
            </w:r>
          </w:p>
        </w:tc>
        <w:tc>
          <w:tcPr>
            <w:tcW w:w="1417"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503,361,892</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3%</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5%</w:t>
            </w:r>
          </w:p>
        </w:tc>
        <w:tc>
          <w:tcPr>
            <w:tcW w:w="1120"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5%</w:t>
            </w:r>
          </w:p>
        </w:tc>
        <w:tc>
          <w:tcPr>
            <w:tcW w:w="1140"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5%</w:t>
            </w:r>
          </w:p>
        </w:tc>
        <w:tc>
          <w:tcPr>
            <w:tcW w:w="1142"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5%</w:t>
            </w:r>
          </w:p>
        </w:tc>
      </w:tr>
      <w:tr w:rsidR="00AF7081" w:rsidRPr="00AF7081" w:rsidTr="00AF7081">
        <w:trPr>
          <w:trHeight w:val="397"/>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rPr>
                <w:rFonts w:eastAsia="Times New Roman" w:cstheme="minorHAnsi"/>
                <w:color w:val="000000"/>
                <w:sz w:val="18"/>
                <w:szCs w:val="18"/>
              </w:rPr>
            </w:pPr>
            <w:r w:rsidRPr="00AF7081">
              <w:rPr>
                <w:rFonts w:eastAsia="Times New Roman" w:cstheme="minorHAnsi"/>
                <w:color w:val="000000"/>
                <w:sz w:val="18"/>
                <w:szCs w:val="18"/>
              </w:rPr>
              <w:t>Admin, Coordination n ICT</w:t>
            </w:r>
          </w:p>
        </w:tc>
        <w:tc>
          <w:tcPr>
            <w:tcW w:w="1221"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257</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308</w:t>
            </w:r>
          </w:p>
        </w:tc>
        <w:tc>
          <w:tcPr>
            <w:tcW w:w="1400"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269,190,431</w:t>
            </w:r>
          </w:p>
        </w:tc>
        <w:tc>
          <w:tcPr>
            <w:tcW w:w="1435"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285,129,280</w:t>
            </w:r>
          </w:p>
        </w:tc>
        <w:tc>
          <w:tcPr>
            <w:tcW w:w="1417"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302,017,135</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3%</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3%</w:t>
            </w:r>
          </w:p>
        </w:tc>
        <w:tc>
          <w:tcPr>
            <w:tcW w:w="1120"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3%</w:t>
            </w:r>
          </w:p>
        </w:tc>
        <w:tc>
          <w:tcPr>
            <w:tcW w:w="1140"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3%</w:t>
            </w:r>
          </w:p>
        </w:tc>
        <w:tc>
          <w:tcPr>
            <w:tcW w:w="1142"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3%</w:t>
            </w:r>
          </w:p>
        </w:tc>
      </w:tr>
      <w:tr w:rsidR="00AF7081" w:rsidRPr="00AF7081" w:rsidTr="00AF7081">
        <w:trPr>
          <w:trHeight w:val="397"/>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rPr>
                <w:rFonts w:eastAsia="Times New Roman" w:cstheme="minorHAnsi"/>
                <w:color w:val="000000"/>
                <w:sz w:val="18"/>
                <w:szCs w:val="18"/>
              </w:rPr>
            </w:pPr>
            <w:r w:rsidRPr="00AF7081">
              <w:rPr>
                <w:rFonts w:eastAsia="Times New Roman" w:cstheme="minorHAnsi"/>
                <w:color w:val="000000"/>
                <w:sz w:val="18"/>
                <w:szCs w:val="18"/>
              </w:rPr>
              <w:t>Health Services</w:t>
            </w:r>
          </w:p>
        </w:tc>
        <w:tc>
          <w:tcPr>
            <w:tcW w:w="1221"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1,657</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1,832</w:t>
            </w:r>
          </w:p>
        </w:tc>
        <w:tc>
          <w:tcPr>
            <w:tcW w:w="1400"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1,794,602,872</w:t>
            </w:r>
          </w:p>
        </w:tc>
        <w:tc>
          <w:tcPr>
            <w:tcW w:w="1435"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1,900,861,864</w:t>
            </w:r>
          </w:p>
        </w:tc>
        <w:tc>
          <w:tcPr>
            <w:tcW w:w="1417"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color w:val="000000"/>
                <w:sz w:val="18"/>
                <w:szCs w:val="18"/>
              </w:rPr>
            </w:pPr>
            <w:r w:rsidRPr="00AF7081">
              <w:rPr>
                <w:rFonts w:eastAsia="Times New Roman" w:cstheme="minorHAnsi"/>
                <w:color w:val="000000"/>
                <w:sz w:val="18"/>
                <w:szCs w:val="18"/>
              </w:rPr>
              <w:t>2,013,447,569</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21%</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20%</w:t>
            </w:r>
          </w:p>
        </w:tc>
        <w:tc>
          <w:tcPr>
            <w:tcW w:w="1120"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20%</w:t>
            </w:r>
          </w:p>
        </w:tc>
        <w:tc>
          <w:tcPr>
            <w:tcW w:w="1140"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20%</w:t>
            </w:r>
          </w:p>
        </w:tc>
        <w:tc>
          <w:tcPr>
            <w:tcW w:w="1142"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color w:val="000000"/>
                <w:sz w:val="18"/>
                <w:szCs w:val="18"/>
              </w:rPr>
            </w:pPr>
            <w:r w:rsidRPr="00AF7081">
              <w:rPr>
                <w:rFonts w:eastAsia="Times New Roman" w:cstheme="minorHAnsi"/>
                <w:color w:val="000000"/>
                <w:sz w:val="18"/>
                <w:szCs w:val="18"/>
              </w:rPr>
              <w:t>20%</w:t>
            </w:r>
          </w:p>
        </w:tc>
      </w:tr>
      <w:tr w:rsidR="00AF7081" w:rsidRPr="00AF7081" w:rsidTr="00AF7081">
        <w:trPr>
          <w:trHeight w:val="397"/>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rPr>
                <w:rFonts w:eastAsia="Times New Roman" w:cstheme="minorHAnsi"/>
                <w:b/>
                <w:bCs/>
                <w:color w:val="000000"/>
                <w:sz w:val="18"/>
                <w:szCs w:val="18"/>
              </w:rPr>
            </w:pPr>
            <w:r w:rsidRPr="00AF7081">
              <w:rPr>
                <w:rFonts w:eastAsia="Times New Roman" w:cstheme="minorHAnsi"/>
                <w:b/>
                <w:bCs/>
                <w:color w:val="000000"/>
                <w:sz w:val="18"/>
                <w:szCs w:val="18"/>
              </w:rPr>
              <w:t>Total</w:t>
            </w:r>
          </w:p>
        </w:tc>
        <w:tc>
          <w:tcPr>
            <w:tcW w:w="1221"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b/>
                <w:bCs/>
                <w:color w:val="000000"/>
                <w:sz w:val="18"/>
                <w:szCs w:val="18"/>
              </w:rPr>
            </w:pPr>
            <w:r w:rsidRPr="00AF7081">
              <w:rPr>
                <w:rFonts w:eastAsia="Times New Roman" w:cstheme="minorHAnsi"/>
                <w:b/>
                <w:bCs/>
                <w:color w:val="000000"/>
                <w:sz w:val="18"/>
                <w:szCs w:val="18"/>
              </w:rPr>
              <w:t>7,760</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b/>
                <w:bCs/>
                <w:color w:val="000000"/>
                <w:sz w:val="18"/>
                <w:szCs w:val="18"/>
              </w:rPr>
            </w:pPr>
            <w:r w:rsidRPr="00AF7081">
              <w:rPr>
                <w:rFonts w:eastAsia="Times New Roman" w:cstheme="minorHAnsi"/>
                <w:b/>
                <w:bCs/>
                <w:color w:val="000000"/>
                <w:sz w:val="18"/>
                <w:szCs w:val="18"/>
              </w:rPr>
              <w:t>9,312</w:t>
            </w:r>
          </w:p>
        </w:tc>
        <w:tc>
          <w:tcPr>
            <w:tcW w:w="1400"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b/>
                <w:bCs/>
                <w:color w:val="000000"/>
                <w:sz w:val="18"/>
                <w:szCs w:val="18"/>
              </w:rPr>
            </w:pPr>
            <w:r w:rsidRPr="00AF7081">
              <w:rPr>
                <w:rFonts w:eastAsia="Times New Roman" w:cstheme="minorHAnsi"/>
                <w:b/>
                <w:bCs/>
                <w:color w:val="000000"/>
                <w:sz w:val="18"/>
                <w:szCs w:val="18"/>
              </w:rPr>
              <w:t>8,973,014,359</w:t>
            </w:r>
          </w:p>
        </w:tc>
        <w:tc>
          <w:tcPr>
            <w:tcW w:w="1435"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b/>
                <w:bCs/>
                <w:color w:val="000000"/>
                <w:sz w:val="18"/>
                <w:szCs w:val="18"/>
              </w:rPr>
            </w:pPr>
            <w:r w:rsidRPr="00AF7081">
              <w:rPr>
                <w:rFonts w:eastAsia="Times New Roman" w:cstheme="minorHAnsi"/>
                <w:b/>
                <w:bCs/>
                <w:color w:val="000000"/>
                <w:sz w:val="18"/>
                <w:szCs w:val="18"/>
              </w:rPr>
              <w:t>9,504,309,320</w:t>
            </w:r>
          </w:p>
        </w:tc>
        <w:tc>
          <w:tcPr>
            <w:tcW w:w="1417"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right"/>
              <w:rPr>
                <w:rFonts w:eastAsia="Times New Roman" w:cstheme="minorHAnsi"/>
                <w:b/>
                <w:bCs/>
                <w:color w:val="000000"/>
                <w:sz w:val="18"/>
                <w:szCs w:val="18"/>
              </w:rPr>
            </w:pPr>
            <w:r w:rsidRPr="00AF7081">
              <w:rPr>
                <w:rFonts w:eastAsia="Times New Roman" w:cstheme="minorHAnsi"/>
                <w:b/>
                <w:bCs/>
                <w:color w:val="000000"/>
                <w:sz w:val="18"/>
                <w:szCs w:val="18"/>
              </w:rPr>
              <w:t>10,067,237,843</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b/>
                <w:bCs/>
                <w:color w:val="000000"/>
                <w:sz w:val="18"/>
                <w:szCs w:val="18"/>
              </w:rPr>
            </w:pPr>
            <w:r w:rsidRPr="00AF7081">
              <w:rPr>
                <w:rFonts w:eastAsia="Times New Roman" w:cstheme="minorHAnsi"/>
                <w:b/>
                <w:bCs/>
                <w:color w:val="000000"/>
                <w:sz w:val="18"/>
                <w:szCs w:val="18"/>
              </w:rPr>
              <w:t>100%</w:t>
            </w:r>
          </w:p>
        </w:tc>
        <w:tc>
          <w:tcPr>
            <w:tcW w:w="1134"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b/>
                <w:bCs/>
                <w:color w:val="000000"/>
                <w:sz w:val="18"/>
                <w:szCs w:val="18"/>
              </w:rPr>
            </w:pPr>
            <w:r w:rsidRPr="00AF7081">
              <w:rPr>
                <w:rFonts w:eastAsia="Times New Roman" w:cstheme="minorHAnsi"/>
                <w:b/>
                <w:bCs/>
                <w:color w:val="000000"/>
                <w:sz w:val="18"/>
                <w:szCs w:val="18"/>
              </w:rPr>
              <w:t>100%</w:t>
            </w:r>
          </w:p>
        </w:tc>
        <w:tc>
          <w:tcPr>
            <w:tcW w:w="1120"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b/>
                <w:bCs/>
                <w:color w:val="000000"/>
                <w:sz w:val="18"/>
                <w:szCs w:val="18"/>
              </w:rPr>
            </w:pPr>
            <w:r w:rsidRPr="00AF7081">
              <w:rPr>
                <w:rFonts w:eastAsia="Times New Roman" w:cstheme="minorHAnsi"/>
                <w:b/>
                <w:bCs/>
                <w:color w:val="000000"/>
                <w:sz w:val="18"/>
                <w:szCs w:val="18"/>
              </w:rPr>
              <w:t>100%</w:t>
            </w:r>
          </w:p>
        </w:tc>
        <w:tc>
          <w:tcPr>
            <w:tcW w:w="1140"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b/>
                <w:bCs/>
                <w:color w:val="000000"/>
                <w:sz w:val="18"/>
                <w:szCs w:val="18"/>
              </w:rPr>
            </w:pPr>
            <w:r w:rsidRPr="00AF7081">
              <w:rPr>
                <w:rFonts w:eastAsia="Times New Roman" w:cstheme="minorHAnsi"/>
                <w:b/>
                <w:bCs/>
                <w:color w:val="000000"/>
                <w:sz w:val="18"/>
                <w:szCs w:val="18"/>
              </w:rPr>
              <w:t>100%</w:t>
            </w:r>
          </w:p>
        </w:tc>
        <w:tc>
          <w:tcPr>
            <w:tcW w:w="1142" w:type="dxa"/>
            <w:tcBorders>
              <w:top w:val="nil"/>
              <w:left w:val="nil"/>
              <w:bottom w:val="single" w:sz="4" w:space="0" w:color="auto"/>
              <w:right w:val="single" w:sz="4" w:space="0" w:color="auto"/>
            </w:tcBorders>
            <w:shd w:val="clear" w:color="auto" w:fill="auto"/>
            <w:vAlign w:val="center"/>
            <w:hideMark/>
          </w:tcPr>
          <w:p w:rsidR="00AF7081" w:rsidRPr="00AF7081" w:rsidRDefault="00AF7081" w:rsidP="00AF7081">
            <w:pPr>
              <w:spacing w:after="0" w:line="240" w:lineRule="auto"/>
              <w:jc w:val="center"/>
              <w:rPr>
                <w:rFonts w:eastAsia="Times New Roman" w:cstheme="minorHAnsi"/>
                <w:b/>
                <w:bCs/>
                <w:color w:val="000000"/>
                <w:sz w:val="18"/>
                <w:szCs w:val="18"/>
              </w:rPr>
            </w:pPr>
            <w:r w:rsidRPr="00AF7081">
              <w:rPr>
                <w:rFonts w:eastAsia="Times New Roman" w:cstheme="minorHAnsi"/>
                <w:b/>
                <w:bCs/>
                <w:color w:val="000000"/>
                <w:sz w:val="18"/>
                <w:szCs w:val="18"/>
              </w:rPr>
              <w:t>100%</w:t>
            </w:r>
          </w:p>
        </w:tc>
      </w:tr>
    </w:tbl>
    <w:p w:rsidR="00AF7081" w:rsidRDefault="00AF7081" w:rsidP="00DA74EB">
      <w:pPr>
        <w:spacing w:before="100" w:beforeAutospacing="1" w:after="240" w:line="240" w:lineRule="auto"/>
        <w:rPr>
          <w:rFonts w:cstheme="minorHAnsi"/>
          <w:b/>
          <w:bCs/>
          <w:spacing w:val="1"/>
          <w:sz w:val="23"/>
          <w:szCs w:val="23"/>
        </w:rPr>
      </w:pPr>
    </w:p>
    <w:p w:rsidR="00BC4546" w:rsidRPr="00C4418D" w:rsidRDefault="00BC4546" w:rsidP="00BC4546">
      <w:pPr>
        <w:spacing w:before="9" w:after="172" w:line="276" w:lineRule="exact"/>
        <w:rPr>
          <w:rFonts w:cstheme="minorHAnsi"/>
          <w:b/>
          <w:bCs/>
          <w:spacing w:val="1"/>
          <w:sz w:val="23"/>
          <w:szCs w:val="23"/>
        </w:rPr>
      </w:pPr>
    </w:p>
    <w:p w:rsidR="00BC4546" w:rsidRPr="00C4418D" w:rsidRDefault="00BC4546" w:rsidP="00BC4546">
      <w:pPr>
        <w:spacing w:before="9" w:after="172" w:line="276" w:lineRule="exact"/>
        <w:rPr>
          <w:rFonts w:cstheme="minorHAnsi"/>
          <w:b/>
          <w:bCs/>
          <w:spacing w:val="1"/>
          <w:sz w:val="23"/>
          <w:szCs w:val="23"/>
        </w:rPr>
        <w:sectPr w:rsidR="00BC4546" w:rsidRPr="00C4418D" w:rsidSect="00BC4546">
          <w:pgSz w:w="16839" w:h="11907" w:orient="landscape" w:code="9"/>
          <w:pgMar w:top="1440" w:right="1440" w:bottom="1440" w:left="1440" w:header="720" w:footer="720" w:gutter="0"/>
          <w:cols w:space="720"/>
          <w:docGrid w:linePitch="360"/>
        </w:sectPr>
      </w:pPr>
    </w:p>
    <w:p w:rsidR="00BC4546" w:rsidRPr="00C4418D" w:rsidRDefault="00BC4546" w:rsidP="00BC4546">
      <w:pPr>
        <w:spacing w:before="9" w:after="172" w:line="276" w:lineRule="exact"/>
        <w:rPr>
          <w:rFonts w:cstheme="minorHAnsi"/>
          <w:b/>
          <w:bCs/>
          <w:spacing w:val="1"/>
          <w:sz w:val="23"/>
          <w:szCs w:val="23"/>
        </w:rPr>
      </w:pPr>
    </w:p>
    <w:p w:rsidR="009D76EA" w:rsidRPr="00047254" w:rsidRDefault="00390B69" w:rsidP="00047254">
      <w:pPr>
        <w:pStyle w:val="ListParagraph"/>
        <w:numPr>
          <w:ilvl w:val="1"/>
          <w:numId w:val="36"/>
        </w:numPr>
        <w:ind w:left="540" w:hanging="540"/>
        <w:rPr>
          <w:rFonts w:asciiTheme="majorHAnsi" w:hAnsiTheme="majorHAnsi" w:cstheme="minorHAnsi"/>
          <w:b/>
          <w:sz w:val="24"/>
          <w:szCs w:val="24"/>
        </w:rPr>
      </w:pPr>
      <w:r>
        <w:rPr>
          <w:rFonts w:asciiTheme="majorHAnsi" w:hAnsiTheme="majorHAnsi" w:cstheme="minorHAnsi"/>
          <w:b/>
          <w:sz w:val="24"/>
          <w:szCs w:val="24"/>
        </w:rPr>
        <w:t>The Proposed 2023/24</w:t>
      </w:r>
      <w:r w:rsidR="009D76EA" w:rsidRPr="00047254">
        <w:rPr>
          <w:rFonts w:asciiTheme="majorHAnsi" w:hAnsiTheme="majorHAnsi" w:cstheme="minorHAnsi"/>
          <w:b/>
          <w:sz w:val="24"/>
          <w:szCs w:val="24"/>
        </w:rPr>
        <w:t xml:space="preserve"> Budget Framework</w:t>
      </w:r>
    </w:p>
    <w:p w:rsidR="00542DE0" w:rsidRPr="00C4418D" w:rsidRDefault="00542DE0" w:rsidP="00542DE0">
      <w:pPr>
        <w:pStyle w:val="ListParagraph"/>
        <w:ind w:left="360"/>
        <w:rPr>
          <w:rFonts w:cstheme="minorHAnsi"/>
          <w:b/>
          <w:sz w:val="24"/>
          <w:szCs w:val="24"/>
        </w:rPr>
      </w:pPr>
    </w:p>
    <w:p w:rsidR="00542DE0" w:rsidRPr="00047254" w:rsidRDefault="00542DE0" w:rsidP="00542DE0">
      <w:pPr>
        <w:pStyle w:val="ListParagraph"/>
        <w:numPr>
          <w:ilvl w:val="2"/>
          <w:numId w:val="36"/>
        </w:numPr>
        <w:rPr>
          <w:rFonts w:asciiTheme="majorHAnsi" w:hAnsiTheme="majorHAnsi" w:cstheme="minorHAnsi"/>
          <w:b/>
          <w:sz w:val="24"/>
          <w:szCs w:val="24"/>
        </w:rPr>
      </w:pPr>
      <w:r w:rsidRPr="00047254">
        <w:rPr>
          <w:rFonts w:asciiTheme="majorHAnsi" w:hAnsiTheme="majorHAnsi" w:cstheme="minorHAnsi"/>
          <w:b/>
          <w:sz w:val="24"/>
          <w:szCs w:val="24"/>
        </w:rPr>
        <w:t>Revenue Projections</w:t>
      </w:r>
    </w:p>
    <w:p w:rsidR="00AE35CF" w:rsidRPr="00EB1AA7" w:rsidRDefault="00390B69" w:rsidP="00542DE0">
      <w:pPr>
        <w:rPr>
          <w:rFonts w:cstheme="minorHAnsi"/>
        </w:rPr>
      </w:pPr>
      <w:r>
        <w:rPr>
          <w:rFonts w:cstheme="minorHAnsi"/>
        </w:rPr>
        <w:t>The FY 2023/24</w:t>
      </w:r>
      <w:r w:rsidR="00AE35CF" w:rsidRPr="00AE35CF">
        <w:rPr>
          <w:rFonts w:cstheme="minorHAnsi"/>
        </w:rPr>
        <w:t xml:space="preserve"> budget targets revenue (equitable share and </w:t>
      </w:r>
      <w:r w:rsidR="00E3534B">
        <w:rPr>
          <w:rFonts w:cstheme="minorHAnsi"/>
        </w:rPr>
        <w:t xml:space="preserve">local) collection of </w:t>
      </w:r>
      <w:proofErr w:type="spellStart"/>
      <w:r w:rsidR="00E3534B">
        <w:rPr>
          <w:rFonts w:cstheme="minorHAnsi"/>
        </w:rPr>
        <w:t>Kshs</w:t>
      </w:r>
      <w:proofErr w:type="spellEnd"/>
      <w:r>
        <w:rPr>
          <w:rFonts w:cstheme="minorHAnsi"/>
        </w:rPr>
        <w:t xml:space="preserve"> </w:t>
      </w:r>
      <w:r w:rsidRPr="0088282B">
        <w:rPr>
          <w:rFonts w:cstheme="minorHAnsi"/>
        </w:rPr>
        <w:t>8,</w:t>
      </w:r>
      <w:r w:rsidR="00AF7081">
        <w:rPr>
          <w:rFonts w:cstheme="minorHAnsi"/>
        </w:rPr>
        <w:t xml:space="preserve">973,014,359 </w:t>
      </w:r>
      <w:r w:rsidR="00E3534B">
        <w:rPr>
          <w:rFonts w:cstheme="minorHAnsi"/>
        </w:rPr>
        <w:t xml:space="preserve">Million up from </w:t>
      </w:r>
      <w:proofErr w:type="spellStart"/>
      <w:r w:rsidR="00E3534B">
        <w:rPr>
          <w:rFonts w:cstheme="minorHAnsi"/>
        </w:rPr>
        <w:t>Kshs</w:t>
      </w:r>
      <w:proofErr w:type="spellEnd"/>
      <w:r w:rsidR="00E554B7">
        <w:rPr>
          <w:rFonts w:cstheme="minorHAnsi"/>
        </w:rPr>
        <w:t xml:space="preserve"> 8,471,566,018</w:t>
      </w:r>
      <w:r>
        <w:rPr>
          <w:rFonts w:cstheme="minorHAnsi"/>
        </w:rPr>
        <w:t xml:space="preserve"> Million in the FY 2022/23</w:t>
      </w:r>
      <w:r w:rsidR="00AE35CF" w:rsidRPr="00AE35CF">
        <w:rPr>
          <w:rFonts w:cstheme="minorHAnsi"/>
        </w:rPr>
        <w:t xml:space="preserve">. This revenue performance will be dependent on </w:t>
      </w:r>
      <w:r w:rsidR="00FE1FCD">
        <w:rPr>
          <w:rFonts w:cstheme="minorHAnsi"/>
        </w:rPr>
        <w:t xml:space="preserve">improved control over </w:t>
      </w:r>
      <w:r w:rsidR="00AE35CF" w:rsidRPr="00AE35CF">
        <w:rPr>
          <w:rFonts w:cstheme="minorHAnsi"/>
        </w:rPr>
        <w:t xml:space="preserve">revenue collection and revenue administration. </w:t>
      </w:r>
    </w:p>
    <w:p w:rsidR="00542DE0" w:rsidRPr="00047254" w:rsidRDefault="00542DE0" w:rsidP="00542DE0">
      <w:pPr>
        <w:pStyle w:val="ListParagraph"/>
        <w:numPr>
          <w:ilvl w:val="2"/>
          <w:numId w:val="36"/>
        </w:numPr>
        <w:rPr>
          <w:rFonts w:asciiTheme="majorHAnsi" w:hAnsiTheme="majorHAnsi" w:cstheme="minorHAnsi"/>
          <w:b/>
          <w:sz w:val="24"/>
          <w:szCs w:val="24"/>
        </w:rPr>
      </w:pPr>
      <w:r w:rsidRPr="00047254">
        <w:rPr>
          <w:rFonts w:asciiTheme="majorHAnsi" w:hAnsiTheme="majorHAnsi" w:cstheme="minorHAnsi"/>
          <w:b/>
          <w:sz w:val="24"/>
          <w:szCs w:val="24"/>
        </w:rPr>
        <w:t>Expenditure Forecasts</w:t>
      </w:r>
    </w:p>
    <w:p w:rsidR="007F0201" w:rsidRPr="00AB48DD" w:rsidRDefault="00390B69" w:rsidP="00542DE0">
      <w:pPr>
        <w:rPr>
          <w:rFonts w:cstheme="minorHAnsi"/>
        </w:rPr>
      </w:pPr>
      <w:r w:rsidRPr="00AB48DD">
        <w:rPr>
          <w:rFonts w:cstheme="minorHAnsi"/>
        </w:rPr>
        <w:t>In the proposed FY 2023/24</w:t>
      </w:r>
      <w:r w:rsidR="002C1A3A" w:rsidRPr="00AB48DD">
        <w:rPr>
          <w:rFonts w:cstheme="minorHAnsi"/>
        </w:rPr>
        <w:t xml:space="preserve"> budget, overall expenditure</w:t>
      </w:r>
      <w:r w:rsidR="00B2284D" w:rsidRPr="00AB48DD">
        <w:rPr>
          <w:rFonts w:cstheme="minorHAnsi"/>
        </w:rPr>
        <w:t xml:space="preserve">s are projected to increase by 6 percent to </w:t>
      </w:r>
      <w:proofErr w:type="spellStart"/>
      <w:r w:rsidR="00B2284D" w:rsidRPr="00AB48DD">
        <w:rPr>
          <w:rFonts w:cstheme="minorHAnsi"/>
        </w:rPr>
        <w:t>Kshs</w:t>
      </w:r>
      <w:proofErr w:type="spellEnd"/>
      <w:r w:rsidR="00B2284D" w:rsidRPr="00AB48DD">
        <w:rPr>
          <w:rFonts w:cstheme="minorHAnsi"/>
        </w:rPr>
        <w:t xml:space="preserve">. </w:t>
      </w:r>
      <w:r w:rsidR="00216D7A" w:rsidRPr="00AB48DD">
        <w:rPr>
          <w:rFonts w:cstheme="minorHAnsi"/>
        </w:rPr>
        <w:t>8,973,014,359</w:t>
      </w:r>
      <w:r w:rsidR="007F0201" w:rsidRPr="00AB48DD">
        <w:rPr>
          <w:rFonts w:cstheme="minorHAnsi"/>
        </w:rPr>
        <w:t xml:space="preserve"> up</w:t>
      </w:r>
      <w:r w:rsidR="00B2284D" w:rsidRPr="00AB48DD">
        <w:rPr>
          <w:rFonts w:cstheme="minorHAnsi"/>
        </w:rPr>
        <w:t xml:space="preserve"> from the</w:t>
      </w:r>
      <w:r w:rsidR="00B82425" w:rsidRPr="00AB48DD">
        <w:rPr>
          <w:rFonts w:cstheme="minorHAnsi"/>
        </w:rPr>
        <w:t xml:space="preserve"> budgeted e</w:t>
      </w:r>
      <w:r w:rsidR="00216D7A" w:rsidRPr="00AB48DD">
        <w:rPr>
          <w:rFonts w:cstheme="minorHAnsi"/>
        </w:rPr>
        <w:t xml:space="preserve">xpenditure of </w:t>
      </w:r>
      <w:proofErr w:type="spellStart"/>
      <w:r w:rsidR="00216D7A" w:rsidRPr="00AB48DD">
        <w:rPr>
          <w:rFonts w:cstheme="minorHAnsi"/>
        </w:rPr>
        <w:t>Kshs</w:t>
      </w:r>
      <w:proofErr w:type="spellEnd"/>
      <w:r w:rsidR="00216D7A" w:rsidRPr="00AB48DD">
        <w:rPr>
          <w:rFonts w:cstheme="minorHAnsi"/>
        </w:rPr>
        <w:t xml:space="preserve"> 8,471,566,018</w:t>
      </w:r>
      <w:r w:rsidR="00B82425" w:rsidRPr="00AB48DD">
        <w:rPr>
          <w:rFonts w:cstheme="minorHAnsi"/>
        </w:rPr>
        <w:t xml:space="preserve"> in FY 2022/23. </w:t>
      </w:r>
      <w:r w:rsidR="002C1A3A" w:rsidRPr="00AB48DD">
        <w:rPr>
          <w:rFonts w:cstheme="minorHAnsi"/>
        </w:rPr>
        <w:t xml:space="preserve"> Recurrent expenditu</w:t>
      </w:r>
      <w:r w:rsidR="00E554B7" w:rsidRPr="00AB48DD">
        <w:rPr>
          <w:rFonts w:cstheme="minorHAnsi"/>
        </w:rPr>
        <w:t>re is projected to increase</w:t>
      </w:r>
      <w:r w:rsidR="00B82425" w:rsidRPr="00AB48DD">
        <w:rPr>
          <w:rFonts w:cstheme="minorHAnsi"/>
        </w:rPr>
        <w:t xml:space="preserve"> by</w:t>
      </w:r>
      <w:r w:rsidR="00E554B7" w:rsidRPr="00AB48DD">
        <w:rPr>
          <w:rFonts w:cstheme="minorHAnsi"/>
        </w:rPr>
        <w:t xml:space="preserve"> 14 percent from </w:t>
      </w:r>
      <w:proofErr w:type="spellStart"/>
      <w:r w:rsidR="00E554B7" w:rsidRPr="00AB48DD">
        <w:rPr>
          <w:rFonts w:cstheme="minorHAnsi"/>
        </w:rPr>
        <w:t>Kshs</w:t>
      </w:r>
      <w:proofErr w:type="spellEnd"/>
      <w:r w:rsidR="00E554B7" w:rsidRPr="00AB48DD">
        <w:rPr>
          <w:rFonts w:cstheme="minorHAnsi"/>
        </w:rPr>
        <w:t xml:space="preserve"> 3,981,636,028</w:t>
      </w:r>
      <w:r w:rsidR="00B82425" w:rsidRPr="00AB48DD">
        <w:rPr>
          <w:rFonts w:cstheme="minorHAnsi"/>
        </w:rPr>
        <w:t xml:space="preserve"> in FY 2022/23 </w:t>
      </w:r>
      <w:r w:rsidR="00E554B7" w:rsidRPr="00AB48DD">
        <w:rPr>
          <w:rFonts w:cstheme="minorHAnsi"/>
        </w:rPr>
        <w:t xml:space="preserve">to </w:t>
      </w:r>
      <w:proofErr w:type="spellStart"/>
      <w:r w:rsidR="00E554B7" w:rsidRPr="00AB48DD">
        <w:rPr>
          <w:rFonts w:cstheme="minorHAnsi"/>
        </w:rPr>
        <w:t>Kshs</w:t>
      </w:r>
      <w:proofErr w:type="spellEnd"/>
      <w:r w:rsidR="00E554B7" w:rsidRPr="00AB48DD">
        <w:rPr>
          <w:rFonts w:cstheme="minorHAnsi"/>
        </w:rPr>
        <w:t xml:space="preserve"> 4,576,237,323 to account to 51% of the total allocation and to cater for the pending bills and the planning cycles processes required in the first year of the CIDP 2022-2027. </w:t>
      </w:r>
      <w:r w:rsidR="00B82425" w:rsidRPr="00AB48DD">
        <w:rPr>
          <w:rFonts w:cstheme="minorHAnsi"/>
        </w:rPr>
        <w:t>This is</w:t>
      </w:r>
      <w:r w:rsidR="00E554B7" w:rsidRPr="00AB48DD">
        <w:rPr>
          <w:rFonts w:cstheme="minorHAnsi"/>
        </w:rPr>
        <w:t xml:space="preserve"> also</w:t>
      </w:r>
      <w:r w:rsidR="00B82425" w:rsidRPr="00AB48DD">
        <w:rPr>
          <w:rFonts w:cstheme="minorHAnsi"/>
        </w:rPr>
        <w:t xml:space="preserve"> due to the mitigation effects already put in place to deal with insecurity and which had resulted in higher than planned recurrent expenditure. D</w:t>
      </w:r>
      <w:r w:rsidR="002C1A3A" w:rsidRPr="00AB48DD">
        <w:rPr>
          <w:rFonts w:cstheme="minorHAnsi"/>
        </w:rPr>
        <w:t>evelopment expenditur</w:t>
      </w:r>
      <w:r w:rsidR="00E554B7" w:rsidRPr="00AB48DD">
        <w:rPr>
          <w:rFonts w:cstheme="minorHAnsi"/>
        </w:rPr>
        <w:t>e is projected to decrease by 2</w:t>
      </w:r>
      <w:r w:rsidR="004402D0" w:rsidRPr="00AB48DD">
        <w:rPr>
          <w:rFonts w:cstheme="minorHAnsi"/>
        </w:rPr>
        <w:t xml:space="preserve"> </w:t>
      </w:r>
      <w:r w:rsidR="002C1A3A" w:rsidRPr="00AB48DD">
        <w:rPr>
          <w:rFonts w:cstheme="minorHAnsi"/>
        </w:rPr>
        <w:t xml:space="preserve">percent to </w:t>
      </w:r>
      <w:proofErr w:type="spellStart"/>
      <w:r w:rsidR="00AB48DD" w:rsidRPr="00AB48DD">
        <w:rPr>
          <w:rFonts w:cstheme="minorHAnsi"/>
        </w:rPr>
        <w:t>Kshs</w:t>
      </w:r>
      <w:proofErr w:type="spellEnd"/>
      <w:r w:rsidR="00AB48DD" w:rsidRPr="00AB48DD">
        <w:rPr>
          <w:rFonts w:cstheme="minorHAnsi"/>
        </w:rPr>
        <w:t xml:space="preserve"> 4,396,777,036 in FY 2023/24 </w:t>
      </w:r>
      <w:r w:rsidR="00005E88" w:rsidRPr="00AB48DD">
        <w:rPr>
          <w:rFonts w:cstheme="minorHAnsi"/>
        </w:rPr>
        <w:t xml:space="preserve">from </w:t>
      </w:r>
      <w:proofErr w:type="spellStart"/>
      <w:r w:rsidR="00005E88" w:rsidRPr="00AB48DD">
        <w:rPr>
          <w:rFonts w:cstheme="minorHAnsi"/>
        </w:rPr>
        <w:t>Kshs</w:t>
      </w:r>
      <w:proofErr w:type="spellEnd"/>
      <w:r w:rsidR="00AB48DD" w:rsidRPr="00AB48DD">
        <w:rPr>
          <w:rFonts w:cstheme="minorHAnsi"/>
        </w:rPr>
        <w:t xml:space="preserve"> 4,489,929,990</w:t>
      </w:r>
      <w:r w:rsidR="00005E88" w:rsidRPr="00AB48DD">
        <w:rPr>
          <w:rFonts w:cstheme="minorHAnsi"/>
        </w:rPr>
        <w:t xml:space="preserve"> </w:t>
      </w:r>
      <w:r w:rsidR="004402D0" w:rsidRPr="00AB48DD">
        <w:rPr>
          <w:rFonts w:cstheme="minorHAnsi"/>
        </w:rPr>
        <w:t>budgeted for</w:t>
      </w:r>
      <w:r w:rsidR="00AB48DD" w:rsidRPr="00AB48DD">
        <w:rPr>
          <w:rFonts w:cstheme="minorHAnsi"/>
        </w:rPr>
        <w:t xml:space="preserve"> in FY 2022/23 accounting for 49</w:t>
      </w:r>
      <w:r w:rsidR="002C1A3A" w:rsidRPr="00AB48DD">
        <w:rPr>
          <w:rFonts w:cstheme="minorHAnsi"/>
        </w:rPr>
        <w:t xml:space="preserve"> percent of the total budget and within the recommended level of 30 percent.</w:t>
      </w:r>
    </w:p>
    <w:p w:rsidR="006C55DB" w:rsidRPr="00EB1AA7" w:rsidRDefault="002C1A3A" w:rsidP="00542DE0">
      <w:pPr>
        <w:rPr>
          <w:rFonts w:cstheme="minorHAnsi"/>
        </w:rPr>
      </w:pPr>
      <w:r w:rsidRPr="00AB48DD">
        <w:rPr>
          <w:rFonts w:cstheme="minorHAnsi"/>
        </w:rPr>
        <w:t>In addition, personnel em</w:t>
      </w:r>
      <w:r w:rsidR="00772F02" w:rsidRPr="00AB48DD">
        <w:rPr>
          <w:rFonts w:cstheme="minorHAnsi"/>
        </w:rPr>
        <w:t xml:space="preserve">olument is projected to </w:t>
      </w:r>
      <w:r w:rsidR="005C4582" w:rsidRPr="00AB48DD">
        <w:rPr>
          <w:rFonts w:cstheme="minorHAnsi"/>
        </w:rPr>
        <w:t>increase by</w:t>
      </w:r>
      <w:r w:rsidR="00772F02" w:rsidRPr="00AB48DD">
        <w:rPr>
          <w:rFonts w:cstheme="minorHAnsi"/>
        </w:rPr>
        <w:t xml:space="preserve"> </w:t>
      </w:r>
      <w:r w:rsidR="00AB48DD" w:rsidRPr="00AB48DD">
        <w:rPr>
          <w:rFonts w:cstheme="minorHAnsi"/>
        </w:rPr>
        <w:t>5.7</w:t>
      </w:r>
      <w:r w:rsidR="005C4582" w:rsidRPr="00AB48DD">
        <w:rPr>
          <w:rFonts w:cstheme="minorHAnsi"/>
        </w:rPr>
        <w:t>% of th</w:t>
      </w:r>
      <w:r w:rsidR="00AB48DD" w:rsidRPr="00AB48DD">
        <w:rPr>
          <w:rFonts w:cstheme="minorHAnsi"/>
        </w:rPr>
        <w:t>e actual amounts paid in FY 2021/22 to Kshs 2,2,961,094,739 from Kshs 2,801,611,546</w:t>
      </w:r>
      <w:r w:rsidR="005C4582" w:rsidRPr="00AB48DD">
        <w:rPr>
          <w:rFonts w:cstheme="minorHAnsi"/>
        </w:rPr>
        <w:t xml:space="preserve"> due to the recruitments</w:t>
      </w:r>
      <w:r w:rsidR="00AB48DD" w:rsidRPr="00AB48DD">
        <w:rPr>
          <w:rFonts w:cstheme="minorHAnsi"/>
        </w:rPr>
        <w:t xml:space="preserve"> and salary adjustments expected to be </w:t>
      </w:r>
      <w:r w:rsidR="005C4582" w:rsidRPr="00AB48DD">
        <w:rPr>
          <w:rFonts w:cstheme="minorHAnsi"/>
        </w:rPr>
        <w:t xml:space="preserve">undertaken by the County. </w:t>
      </w:r>
      <w:r w:rsidR="00BE299D" w:rsidRPr="00AB48DD">
        <w:rPr>
          <w:rFonts w:cstheme="minorHAnsi"/>
        </w:rPr>
        <w:t>Overall, the County expects to maintain</w:t>
      </w:r>
      <w:r w:rsidR="00AB48DD" w:rsidRPr="00AB48DD">
        <w:rPr>
          <w:rFonts w:cstheme="minorHAnsi"/>
        </w:rPr>
        <w:t xml:space="preserve"> the personnel costs at below 35</w:t>
      </w:r>
      <w:r w:rsidR="00BE299D" w:rsidRPr="00AB48DD">
        <w:rPr>
          <w:rFonts w:cstheme="minorHAnsi"/>
        </w:rPr>
        <w:t>% of the total reve</w:t>
      </w:r>
      <w:r w:rsidR="00AB48DD" w:rsidRPr="00AB48DD">
        <w:rPr>
          <w:rFonts w:cstheme="minorHAnsi"/>
        </w:rPr>
        <w:t>nue in the medium term</w:t>
      </w:r>
      <w:r w:rsidR="00BE299D" w:rsidRPr="00AB48DD">
        <w:rPr>
          <w:rFonts w:cstheme="minorHAnsi"/>
        </w:rPr>
        <w:t>.</w:t>
      </w:r>
      <w:r w:rsidRPr="00AB48DD">
        <w:rPr>
          <w:rFonts w:cstheme="minorHAnsi"/>
        </w:rPr>
        <w:t xml:space="preserve"> </w:t>
      </w:r>
      <w:r w:rsidR="00E21592" w:rsidRPr="00AB48DD">
        <w:rPr>
          <w:rFonts w:cstheme="minorHAnsi"/>
        </w:rPr>
        <w:t>In this regard, the county government will over the medium ensure compliance with the fiscal responsibility principles as outlined in the sections 107 of the PFM Act 2012. The county government is expected to enhance expenditure productivity in the propose</w:t>
      </w:r>
      <w:r w:rsidR="00BD52A9" w:rsidRPr="00AB48DD">
        <w:rPr>
          <w:rFonts w:cstheme="minorHAnsi"/>
        </w:rPr>
        <w:t xml:space="preserve">d year and manage </w:t>
      </w:r>
      <w:r w:rsidR="00E21592" w:rsidRPr="00AB48DD">
        <w:rPr>
          <w:rFonts w:cstheme="minorHAnsi"/>
        </w:rPr>
        <w:t>the rising wage bill to be within the required limit</w:t>
      </w:r>
      <w:r w:rsidR="00BD52A9" w:rsidRPr="00AB48DD">
        <w:rPr>
          <w:rFonts w:cstheme="minorHAnsi"/>
        </w:rPr>
        <w:t xml:space="preserve">. </w:t>
      </w:r>
      <w:r w:rsidR="006C55DB" w:rsidRPr="00AB48DD">
        <w:rPr>
          <w:rFonts w:cstheme="minorHAnsi"/>
        </w:rPr>
        <w:t xml:space="preserve">Table </w:t>
      </w:r>
      <w:r w:rsidR="00944CA4" w:rsidRPr="00AB48DD">
        <w:rPr>
          <w:rFonts w:cstheme="minorHAnsi"/>
        </w:rPr>
        <w:t>2</w:t>
      </w:r>
      <w:r w:rsidR="00BE299D" w:rsidRPr="00AB48DD">
        <w:rPr>
          <w:rFonts w:cstheme="minorHAnsi"/>
        </w:rPr>
        <w:t>.</w:t>
      </w:r>
      <w:r w:rsidR="006C55DB" w:rsidRPr="00AB48DD">
        <w:rPr>
          <w:rFonts w:cstheme="minorHAnsi"/>
        </w:rPr>
        <w:t>6 below indicates the projections for expenditure in the medium term period</w:t>
      </w:r>
    </w:p>
    <w:p w:rsidR="006C55DB" w:rsidRDefault="006C55DB" w:rsidP="006C55DB">
      <w:pPr>
        <w:spacing w:before="7" w:after="167" w:line="272" w:lineRule="exact"/>
        <w:rPr>
          <w:rFonts w:cstheme="minorHAnsi"/>
          <w:b/>
          <w:bCs/>
          <w:spacing w:val="2"/>
          <w:sz w:val="23"/>
          <w:szCs w:val="23"/>
        </w:rPr>
      </w:pPr>
      <w:r w:rsidRPr="00C4418D">
        <w:rPr>
          <w:rFonts w:cstheme="minorHAnsi"/>
          <w:noProof/>
        </w:rPr>
        <mc:AlternateContent>
          <mc:Choice Requires="wps">
            <w:drawing>
              <wp:anchor distT="0" distB="0" distL="0" distR="0" simplePos="0" relativeHeight="251685888" behindDoc="0" locked="0" layoutInCell="0" allowOverlap="1" wp14:anchorId="1D31155D" wp14:editId="7F0D42E9">
                <wp:simplePos x="0" y="0"/>
                <wp:positionH relativeFrom="column">
                  <wp:posOffset>0</wp:posOffset>
                </wp:positionH>
                <wp:positionV relativeFrom="paragraph">
                  <wp:posOffset>7851775</wp:posOffset>
                </wp:positionV>
                <wp:extent cx="5829935" cy="0"/>
                <wp:effectExtent l="0" t="0" r="0" b="0"/>
                <wp:wrapSquare wrapText="bothSides"/>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935" cy="0"/>
                        </a:xfrm>
                        <a:prstGeom prst="line">
                          <a:avLst/>
                        </a:prstGeom>
                        <a:noFill/>
                        <a:ln w="8890">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379CF" id="Straight Connector 21" o:spid="_x0000_s1026" style="position:absolute;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18.25pt" to="459.05pt,6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" o:allowincell="f" strokecolor="#d9d9d9" strokeweight=".7pt">
                <w10:wrap type="square"/>
              </v:line>
            </w:pict>
          </mc:Fallback>
        </mc:AlternateContent>
      </w:r>
      <w:r w:rsidR="00944CA4">
        <w:rPr>
          <w:rFonts w:cstheme="minorHAnsi"/>
          <w:b/>
          <w:bCs/>
          <w:spacing w:val="2"/>
          <w:sz w:val="23"/>
          <w:szCs w:val="23"/>
        </w:rPr>
        <w:t>Table 2</w:t>
      </w:r>
      <w:r w:rsidRPr="00C4418D">
        <w:rPr>
          <w:rFonts w:cstheme="minorHAnsi"/>
          <w:b/>
          <w:bCs/>
          <w:spacing w:val="2"/>
          <w:sz w:val="23"/>
          <w:szCs w:val="23"/>
        </w:rPr>
        <w:t>.6 Summary</w:t>
      </w:r>
      <w:r w:rsidR="008C4F83" w:rsidRPr="00C4418D">
        <w:rPr>
          <w:rFonts w:cstheme="minorHAnsi"/>
          <w:b/>
          <w:bCs/>
          <w:spacing w:val="2"/>
          <w:sz w:val="23"/>
          <w:szCs w:val="23"/>
        </w:rPr>
        <w:t xml:space="preserve"> of Expenditure Projections 20</w:t>
      </w:r>
      <w:r w:rsidR="00AB48DD">
        <w:rPr>
          <w:rFonts w:cstheme="minorHAnsi"/>
          <w:b/>
          <w:bCs/>
          <w:spacing w:val="2"/>
          <w:sz w:val="23"/>
          <w:szCs w:val="23"/>
        </w:rPr>
        <w:t>23/24</w:t>
      </w:r>
      <w:r w:rsidRPr="00C4418D">
        <w:rPr>
          <w:rFonts w:cstheme="minorHAnsi"/>
          <w:b/>
          <w:bCs/>
          <w:spacing w:val="2"/>
          <w:sz w:val="23"/>
          <w:szCs w:val="23"/>
        </w:rPr>
        <w:t xml:space="preserve"> FY and MTEF</w:t>
      </w:r>
    </w:p>
    <w:tbl>
      <w:tblPr>
        <w:tblW w:w="9629"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2258"/>
        <w:gridCol w:w="1418"/>
        <w:gridCol w:w="1701"/>
        <w:gridCol w:w="1417"/>
        <w:gridCol w:w="1276"/>
        <w:gridCol w:w="1559"/>
      </w:tblGrid>
      <w:tr w:rsidR="00AB48DD" w:rsidRPr="00AB48DD" w:rsidTr="00AB48DD">
        <w:trPr>
          <w:trHeight w:val="570"/>
        </w:trPr>
        <w:tc>
          <w:tcPr>
            <w:tcW w:w="2258" w:type="dxa"/>
            <w:vMerge w:val="restart"/>
            <w:shd w:val="clear" w:color="auto" w:fill="auto"/>
            <w:vAlign w:val="center"/>
            <w:hideMark/>
          </w:tcPr>
          <w:p w:rsidR="00AB48DD" w:rsidRPr="00AB48DD" w:rsidRDefault="00AB48DD" w:rsidP="00AB48DD">
            <w:pPr>
              <w:spacing w:after="0" w:line="240" w:lineRule="auto"/>
              <w:rPr>
                <w:rFonts w:ascii="Calibri" w:eastAsia="Times New Roman" w:hAnsi="Calibri" w:cs="Calibri"/>
                <w:b/>
                <w:bCs/>
                <w:color w:val="000000"/>
                <w:sz w:val="18"/>
                <w:szCs w:val="18"/>
              </w:rPr>
            </w:pPr>
            <w:r w:rsidRPr="00AB48DD">
              <w:rPr>
                <w:rFonts w:ascii="Calibri" w:eastAsia="Times New Roman" w:hAnsi="Calibri" w:cs="Calibri"/>
                <w:b/>
                <w:bCs/>
                <w:color w:val="000000"/>
                <w:sz w:val="18"/>
                <w:szCs w:val="18"/>
              </w:rPr>
              <w:t>Expenditure classification</w:t>
            </w:r>
          </w:p>
        </w:tc>
        <w:tc>
          <w:tcPr>
            <w:tcW w:w="1418" w:type="dxa"/>
            <w:shd w:val="clear" w:color="auto" w:fill="auto"/>
            <w:vAlign w:val="center"/>
            <w:hideMark/>
          </w:tcPr>
          <w:p w:rsidR="00AB48DD" w:rsidRPr="00AB48DD" w:rsidRDefault="00AB48DD" w:rsidP="00AB48DD">
            <w:pPr>
              <w:spacing w:after="0" w:line="240" w:lineRule="auto"/>
              <w:jc w:val="center"/>
              <w:rPr>
                <w:rFonts w:ascii="Calibri" w:eastAsia="Times New Roman" w:hAnsi="Calibri" w:cs="Calibri"/>
                <w:b/>
                <w:bCs/>
                <w:color w:val="000000"/>
                <w:sz w:val="18"/>
                <w:szCs w:val="18"/>
              </w:rPr>
            </w:pPr>
            <w:r w:rsidRPr="00AB48DD">
              <w:rPr>
                <w:rFonts w:ascii="Calibri" w:eastAsia="Times New Roman" w:hAnsi="Calibri" w:cs="Calibri"/>
                <w:b/>
                <w:bCs/>
                <w:color w:val="000000"/>
                <w:sz w:val="18"/>
                <w:szCs w:val="18"/>
              </w:rPr>
              <w:t>Actual</w:t>
            </w:r>
          </w:p>
        </w:tc>
        <w:tc>
          <w:tcPr>
            <w:tcW w:w="1701" w:type="dxa"/>
            <w:shd w:val="clear" w:color="auto" w:fill="auto"/>
            <w:vAlign w:val="center"/>
            <w:hideMark/>
          </w:tcPr>
          <w:p w:rsidR="00AB48DD" w:rsidRPr="00AB48DD" w:rsidRDefault="00AB48DD" w:rsidP="00AB48DD">
            <w:pPr>
              <w:spacing w:after="0" w:line="240" w:lineRule="auto"/>
              <w:ind w:firstLineChars="200" w:firstLine="367"/>
              <w:rPr>
                <w:rFonts w:ascii="Calibri" w:eastAsia="Times New Roman" w:hAnsi="Calibri" w:cs="Calibri"/>
                <w:b/>
                <w:bCs/>
                <w:color w:val="000000"/>
                <w:sz w:val="18"/>
                <w:szCs w:val="18"/>
              </w:rPr>
            </w:pPr>
            <w:r w:rsidRPr="00AB48DD">
              <w:rPr>
                <w:rFonts w:ascii="Calibri" w:eastAsia="Times New Roman" w:hAnsi="Calibri" w:cs="Calibri"/>
                <w:b/>
                <w:bCs/>
                <w:color w:val="000000"/>
                <w:sz w:val="18"/>
                <w:szCs w:val="18"/>
              </w:rPr>
              <w:t>Approved Budget Estimates</w:t>
            </w:r>
          </w:p>
        </w:tc>
        <w:tc>
          <w:tcPr>
            <w:tcW w:w="4252" w:type="dxa"/>
            <w:gridSpan w:val="3"/>
            <w:shd w:val="clear" w:color="auto" w:fill="auto"/>
            <w:vAlign w:val="center"/>
            <w:hideMark/>
          </w:tcPr>
          <w:p w:rsidR="00AB48DD" w:rsidRPr="00AB48DD" w:rsidRDefault="00AB48DD" w:rsidP="00AB48DD">
            <w:pPr>
              <w:spacing w:after="0" w:line="240" w:lineRule="auto"/>
              <w:jc w:val="center"/>
              <w:rPr>
                <w:rFonts w:ascii="Calibri" w:eastAsia="Times New Roman" w:hAnsi="Calibri" w:cs="Calibri"/>
                <w:b/>
                <w:bCs/>
                <w:color w:val="000000"/>
                <w:sz w:val="18"/>
                <w:szCs w:val="18"/>
              </w:rPr>
            </w:pPr>
            <w:r w:rsidRPr="00AB48DD">
              <w:rPr>
                <w:rFonts w:ascii="Calibri" w:eastAsia="Times New Roman" w:hAnsi="Calibri" w:cs="Calibri"/>
                <w:b/>
                <w:bCs/>
                <w:color w:val="000000"/>
                <w:sz w:val="18"/>
                <w:szCs w:val="18"/>
              </w:rPr>
              <w:t>Projected Estimates</w:t>
            </w:r>
          </w:p>
        </w:tc>
      </w:tr>
      <w:tr w:rsidR="00AB48DD" w:rsidRPr="00AB48DD" w:rsidTr="00AB48DD">
        <w:trPr>
          <w:trHeight w:val="300"/>
        </w:trPr>
        <w:tc>
          <w:tcPr>
            <w:tcW w:w="2258" w:type="dxa"/>
            <w:vMerge/>
            <w:vAlign w:val="center"/>
            <w:hideMark/>
          </w:tcPr>
          <w:p w:rsidR="00AB48DD" w:rsidRPr="00AB48DD" w:rsidRDefault="00AB48DD" w:rsidP="00AB48DD">
            <w:pPr>
              <w:spacing w:after="0" w:line="240" w:lineRule="auto"/>
              <w:rPr>
                <w:rFonts w:ascii="Calibri" w:eastAsia="Times New Roman" w:hAnsi="Calibri" w:cs="Calibri"/>
                <w:b/>
                <w:bCs/>
                <w:color w:val="000000"/>
                <w:sz w:val="18"/>
                <w:szCs w:val="18"/>
              </w:rPr>
            </w:pPr>
          </w:p>
        </w:tc>
        <w:tc>
          <w:tcPr>
            <w:tcW w:w="1418" w:type="dxa"/>
            <w:shd w:val="clear" w:color="auto" w:fill="auto"/>
            <w:vAlign w:val="center"/>
            <w:hideMark/>
          </w:tcPr>
          <w:p w:rsidR="00AB48DD" w:rsidRPr="00AB48DD" w:rsidRDefault="00AB48DD" w:rsidP="00AB48DD">
            <w:pPr>
              <w:spacing w:after="0" w:line="240" w:lineRule="auto"/>
              <w:jc w:val="right"/>
              <w:rPr>
                <w:rFonts w:ascii="Calibri" w:eastAsia="Times New Roman" w:hAnsi="Calibri" w:cs="Calibri"/>
                <w:b/>
                <w:bCs/>
                <w:color w:val="000000"/>
                <w:sz w:val="18"/>
                <w:szCs w:val="18"/>
              </w:rPr>
            </w:pPr>
            <w:r w:rsidRPr="00AB48DD">
              <w:rPr>
                <w:rFonts w:ascii="Calibri" w:eastAsia="Times New Roman" w:hAnsi="Calibri" w:cs="Calibri"/>
                <w:b/>
                <w:bCs/>
                <w:color w:val="000000"/>
                <w:sz w:val="18"/>
                <w:szCs w:val="18"/>
              </w:rPr>
              <w:t>FY 2020/21</w:t>
            </w:r>
          </w:p>
        </w:tc>
        <w:tc>
          <w:tcPr>
            <w:tcW w:w="1701" w:type="dxa"/>
            <w:shd w:val="clear" w:color="auto" w:fill="auto"/>
            <w:vAlign w:val="center"/>
            <w:hideMark/>
          </w:tcPr>
          <w:p w:rsidR="00AB48DD" w:rsidRPr="00AB48DD" w:rsidRDefault="00AB48DD" w:rsidP="00AB48DD">
            <w:pPr>
              <w:spacing w:after="0" w:line="240" w:lineRule="auto"/>
              <w:jc w:val="right"/>
              <w:rPr>
                <w:rFonts w:ascii="Calibri" w:eastAsia="Times New Roman" w:hAnsi="Calibri" w:cs="Calibri"/>
                <w:b/>
                <w:bCs/>
                <w:color w:val="000000"/>
                <w:sz w:val="18"/>
                <w:szCs w:val="18"/>
              </w:rPr>
            </w:pPr>
            <w:r w:rsidRPr="00AB48DD">
              <w:rPr>
                <w:rFonts w:ascii="Calibri" w:eastAsia="Times New Roman" w:hAnsi="Calibri" w:cs="Calibri"/>
                <w:b/>
                <w:bCs/>
                <w:color w:val="000000"/>
                <w:sz w:val="18"/>
                <w:szCs w:val="18"/>
              </w:rPr>
              <w:t>FY 2022/23</w:t>
            </w:r>
          </w:p>
        </w:tc>
        <w:tc>
          <w:tcPr>
            <w:tcW w:w="1417" w:type="dxa"/>
            <w:shd w:val="clear" w:color="auto" w:fill="auto"/>
            <w:vAlign w:val="center"/>
            <w:hideMark/>
          </w:tcPr>
          <w:p w:rsidR="00AB48DD" w:rsidRPr="00AB48DD" w:rsidRDefault="00AB48DD" w:rsidP="00AB48DD">
            <w:pPr>
              <w:spacing w:after="0" w:line="240" w:lineRule="auto"/>
              <w:jc w:val="right"/>
              <w:rPr>
                <w:rFonts w:ascii="Calibri" w:eastAsia="Times New Roman" w:hAnsi="Calibri" w:cs="Calibri"/>
                <w:b/>
                <w:bCs/>
                <w:color w:val="000000"/>
                <w:sz w:val="18"/>
                <w:szCs w:val="18"/>
              </w:rPr>
            </w:pPr>
            <w:r w:rsidRPr="00AB48DD">
              <w:rPr>
                <w:rFonts w:ascii="Calibri" w:eastAsia="Times New Roman" w:hAnsi="Calibri" w:cs="Calibri"/>
                <w:b/>
                <w:bCs/>
                <w:color w:val="000000"/>
                <w:sz w:val="18"/>
                <w:szCs w:val="18"/>
              </w:rPr>
              <w:t>FY 2023/24</w:t>
            </w:r>
          </w:p>
        </w:tc>
        <w:tc>
          <w:tcPr>
            <w:tcW w:w="1276" w:type="dxa"/>
            <w:shd w:val="clear" w:color="auto" w:fill="auto"/>
            <w:vAlign w:val="center"/>
            <w:hideMark/>
          </w:tcPr>
          <w:p w:rsidR="00AB48DD" w:rsidRPr="00AB48DD" w:rsidRDefault="00AB48DD" w:rsidP="00AB48DD">
            <w:pPr>
              <w:spacing w:after="0" w:line="240" w:lineRule="auto"/>
              <w:jc w:val="right"/>
              <w:rPr>
                <w:rFonts w:ascii="Calibri" w:eastAsia="Times New Roman" w:hAnsi="Calibri" w:cs="Calibri"/>
                <w:b/>
                <w:bCs/>
                <w:color w:val="000000"/>
                <w:sz w:val="18"/>
                <w:szCs w:val="18"/>
              </w:rPr>
            </w:pPr>
            <w:r w:rsidRPr="00AB48DD">
              <w:rPr>
                <w:rFonts w:ascii="Calibri" w:eastAsia="Times New Roman" w:hAnsi="Calibri" w:cs="Calibri"/>
                <w:b/>
                <w:bCs/>
                <w:color w:val="000000"/>
                <w:sz w:val="18"/>
                <w:szCs w:val="18"/>
              </w:rPr>
              <w:t>FY 2024/25</w:t>
            </w:r>
          </w:p>
        </w:tc>
        <w:tc>
          <w:tcPr>
            <w:tcW w:w="1559" w:type="dxa"/>
            <w:shd w:val="clear" w:color="auto" w:fill="auto"/>
            <w:vAlign w:val="center"/>
            <w:hideMark/>
          </w:tcPr>
          <w:p w:rsidR="00AB48DD" w:rsidRPr="00AB48DD" w:rsidRDefault="00AB48DD" w:rsidP="00AB48DD">
            <w:pPr>
              <w:spacing w:after="0" w:line="240" w:lineRule="auto"/>
              <w:jc w:val="right"/>
              <w:rPr>
                <w:rFonts w:ascii="Calibri" w:eastAsia="Times New Roman" w:hAnsi="Calibri" w:cs="Calibri"/>
                <w:b/>
                <w:bCs/>
                <w:color w:val="000000"/>
                <w:sz w:val="18"/>
                <w:szCs w:val="18"/>
              </w:rPr>
            </w:pPr>
            <w:r w:rsidRPr="00AB48DD">
              <w:rPr>
                <w:rFonts w:ascii="Calibri" w:eastAsia="Times New Roman" w:hAnsi="Calibri" w:cs="Calibri"/>
                <w:b/>
                <w:bCs/>
                <w:color w:val="000000"/>
                <w:sz w:val="18"/>
                <w:szCs w:val="18"/>
              </w:rPr>
              <w:t>FY 2025/26</w:t>
            </w:r>
          </w:p>
        </w:tc>
      </w:tr>
      <w:tr w:rsidR="00AB48DD" w:rsidRPr="00AB48DD" w:rsidTr="00AB48DD">
        <w:trPr>
          <w:trHeight w:val="300"/>
        </w:trPr>
        <w:tc>
          <w:tcPr>
            <w:tcW w:w="2258" w:type="dxa"/>
            <w:shd w:val="clear" w:color="auto" w:fill="auto"/>
            <w:vAlign w:val="center"/>
            <w:hideMark/>
          </w:tcPr>
          <w:p w:rsidR="00AB48DD" w:rsidRPr="00AB48DD" w:rsidRDefault="00AB48DD" w:rsidP="00AB48DD">
            <w:pPr>
              <w:spacing w:after="0" w:line="240" w:lineRule="auto"/>
              <w:rPr>
                <w:rFonts w:ascii="Calibri" w:eastAsia="Times New Roman" w:hAnsi="Calibri" w:cs="Calibri"/>
                <w:color w:val="000000"/>
                <w:sz w:val="18"/>
                <w:szCs w:val="18"/>
              </w:rPr>
            </w:pPr>
            <w:r w:rsidRPr="00AB48DD">
              <w:rPr>
                <w:rFonts w:ascii="Calibri" w:eastAsia="Times New Roman" w:hAnsi="Calibri" w:cs="Calibri"/>
                <w:color w:val="000000"/>
                <w:sz w:val="18"/>
                <w:szCs w:val="18"/>
              </w:rPr>
              <w:t>Personnel Emoluments</w:t>
            </w:r>
          </w:p>
        </w:tc>
        <w:tc>
          <w:tcPr>
            <w:tcW w:w="1418" w:type="dxa"/>
            <w:shd w:val="clear" w:color="auto" w:fill="auto"/>
            <w:vAlign w:val="center"/>
            <w:hideMark/>
          </w:tcPr>
          <w:p w:rsidR="00AB48DD" w:rsidRPr="00AB48DD" w:rsidRDefault="00AB48DD" w:rsidP="00AB48DD">
            <w:pPr>
              <w:spacing w:after="0" w:line="240" w:lineRule="auto"/>
              <w:jc w:val="right"/>
              <w:rPr>
                <w:rFonts w:ascii="Calibri" w:eastAsia="Times New Roman" w:hAnsi="Calibri" w:cs="Calibri"/>
                <w:color w:val="000000"/>
                <w:sz w:val="18"/>
                <w:szCs w:val="18"/>
              </w:rPr>
            </w:pPr>
            <w:r w:rsidRPr="00AB48DD">
              <w:rPr>
                <w:rFonts w:ascii="Calibri" w:eastAsia="Times New Roman" w:hAnsi="Calibri" w:cs="Calibri"/>
                <w:color w:val="000000"/>
                <w:sz w:val="18"/>
                <w:szCs w:val="18"/>
              </w:rPr>
              <w:t>2,801,611,546</w:t>
            </w:r>
          </w:p>
        </w:tc>
        <w:tc>
          <w:tcPr>
            <w:tcW w:w="1701" w:type="dxa"/>
            <w:shd w:val="clear" w:color="auto" w:fill="auto"/>
            <w:vAlign w:val="center"/>
            <w:hideMark/>
          </w:tcPr>
          <w:p w:rsidR="00AB48DD" w:rsidRPr="00AB48DD" w:rsidRDefault="00AB48DD" w:rsidP="00AB48DD">
            <w:pPr>
              <w:spacing w:after="0" w:line="240" w:lineRule="auto"/>
              <w:jc w:val="right"/>
              <w:rPr>
                <w:rFonts w:ascii="Calibri" w:eastAsia="Times New Roman" w:hAnsi="Calibri" w:cs="Calibri"/>
                <w:color w:val="000000"/>
                <w:sz w:val="18"/>
                <w:szCs w:val="18"/>
              </w:rPr>
            </w:pPr>
            <w:r w:rsidRPr="00AB48DD">
              <w:rPr>
                <w:rFonts w:ascii="Calibri" w:eastAsia="Times New Roman" w:hAnsi="Calibri" w:cs="Calibri"/>
                <w:color w:val="000000"/>
                <w:sz w:val="18"/>
                <w:szCs w:val="18"/>
              </w:rPr>
              <w:t>2,941,855,120</w:t>
            </w:r>
          </w:p>
        </w:tc>
        <w:tc>
          <w:tcPr>
            <w:tcW w:w="1417" w:type="dxa"/>
            <w:shd w:val="clear" w:color="auto" w:fill="auto"/>
            <w:vAlign w:val="center"/>
            <w:hideMark/>
          </w:tcPr>
          <w:p w:rsidR="00AB48DD" w:rsidRPr="00AB48DD" w:rsidRDefault="00AB48DD" w:rsidP="00AB48DD">
            <w:pPr>
              <w:spacing w:after="0" w:line="240" w:lineRule="auto"/>
              <w:jc w:val="right"/>
              <w:rPr>
                <w:rFonts w:ascii="Calibri" w:eastAsia="Times New Roman" w:hAnsi="Calibri" w:cs="Calibri"/>
                <w:color w:val="000000"/>
                <w:sz w:val="18"/>
                <w:szCs w:val="18"/>
              </w:rPr>
            </w:pPr>
            <w:r w:rsidRPr="00AB48DD">
              <w:rPr>
                <w:rFonts w:ascii="Calibri" w:eastAsia="Times New Roman" w:hAnsi="Calibri" w:cs="Calibri"/>
                <w:color w:val="000000"/>
                <w:sz w:val="18"/>
                <w:szCs w:val="18"/>
              </w:rPr>
              <w:t>2,961,094,739</w:t>
            </w:r>
          </w:p>
        </w:tc>
        <w:tc>
          <w:tcPr>
            <w:tcW w:w="1276" w:type="dxa"/>
            <w:shd w:val="clear" w:color="auto" w:fill="auto"/>
            <w:vAlign w:val="center"/>
            <w:hideMark/>
          </w:tcPr>
          <w:p w:rsidR="00AB48DD" w:rsidRPr="00AB48DD" w:rsidRDefault="00AB48DD" w:rsidP="00AB48DD">
            <w:pPr>
              <w:spacing w:after="0" w:line="240" w:lineRule="auto"/>
              <w:jc w:val="right"/>
              <w:rPr>
                <w:rFonts w:ascii="Calibri" w:eastAsia="Times New Roman" w:hAnsi="Calibri" w:cs="Calibri"/>
                <w:color w:val="000000"/>
                <w:sz w:val="18"/>
                <w:szCs w:val="18"/>
              </w:rPr>
            </w:pPr>
            <w:r w:rsidRPr="00AB48DD">
              <w:rPr>
                <w:rFonts w:ascii="Calibri" w:eastAsia="Times New Roman" w:hAnsi="Calibri" w:cs="Calibri"/>
                <w:color w:val="000000"/>
                <w:sz w:val="18"/>
                <w:szCs w:val="18"/>
              </w:rPr>
              <w:t>3,041,378,982</w:t>
            </w:r>
          </w:p>
        </w:tc>
        <w:tc>
          <w:tcPr>
            <w:tcW w:w="1559" w:type="dxa"/>
            <w:shd w:val="clear" w:color="auto" w:fill="auto"/>
            <w:vAlign w:val="center"/>
            <w:hideMark/>
          </w:tcPr>
          <w:p w:rsidR="00AB48DD" w:rsidRPr="00AB48DD" w:rsidRDefault="00AB48DD" w:rsidP="00AB48DD">
            <w:pPr>
              <w:spacing w:after="0" w:line="240" w:lineRule="auto"/>
              <w:jc w:val="right"/>
              <w:rPr>
                <w:rFonts w:ascii="Calibri" w:eastAsia="Times New Roman" w:hAnsi="Calibri" w:cs="Calibri"/>
                <w:color w:val="000000"/>
                <w:sz w:val="18"/>
                <w:szCs w:val="18"/>
              </w:rPr>
            </w:pPr>
            <w:r w:rsidRPr="00AB48DD">
              <w:rPr>
                <w:rFonts w:ascii="Calibri" w:eastAsia="Times New Roman" w:hAnsi="Calibri" w:cs="Calibri"/>
                <w:color w:val="000000"/>
                <w:sz w:val="18"/>
                <w:szCs w:val="18"/>
              </w:rPr>
              <w:t>3,221,516,110</w:t>
            </w:r>
          </w:p>
        </w:tc>
      </w:tr>
      <w:tr w:rsidR="00AB48DD" w:rsidRPr="00AB48DD" w:rsidTr="00AB48DD">
        <w:trPr>
          <w:trHeight w:val="300"/>
        </w:trPr>
        <w:tc>
          <w:tcPr>
            <w:tcW w:w="2258" w:type="dxa"/>
            <w:shd w:val="clear" w:color="auto" w:fill="auto"/>
            <w:vAlign w:val="center"/>
            <w:hideMark/>
          </w:tcPr>
          <w:p w:rsidR="00AB48DD" w:rsidRPr="00AB48DD" w:rsidRDefault="00AB48DD" w:rsidP="00AB48DD">
            <w:pPr>
              <w:spacing w:after="0" w:line="240" w:lineRule="auto"/>
              <w:rPr>
                <w:rFonts w:ascii="Calibri" w:eastAsia="Times New Roman" w:hAnsi="Calibri" w:cs="Calibri"/>
                <w:color w:val="000000"/>
                <w:sz w:val="18"/>
                <w:szCs w:val="18"/>
              </w:rPr>
            </w:pPr>
            <w:r w:rsidRPr="00AB48DD">
              <w:rPr>
                <w:rFonts w:ascii="Calibri" w:eastAsia="Times New Roman" w:hAnsi="Calibri" w:cs="Calibri"/>
                <w:color w:val="000000"/>
                <w:sz w:val="18"/>
                <w:szCs w:val="18"/>
              </w:rPr>
              <w:t>Operation s &amp;Maintenance</w:t>
            </w:r>
          </w:p>
        </w:tc>
        <w:tc>
          <w:tcPr>
            <w:tcW w:w="1418" w:type="dxa"/>
            <w:shd w:val="clear" w:color="auto" w:fill="auto"/>
            <w:vAlign w:val="center"/>
            <w:hideMark/>
          </w:tcPr>
          <w:p w:rsidR="00AB48DD" w:rsidRPr="00AB48DD" w:rsidRDefault="00AB48DD" w:rsidP="00AB48DD">
            <w:pPr>
              <w:spacing w:after="0" w:line="240" w:lineRule="auto"/>
              <w:jc w:val="right"/>
              <w:rPr>
                <w:rFonts w:ascii="Calibri" w:eastAsia="Times New Roman" w:hAnsi="Calibri" w:cs="Calibri"/>
                <w:color w:val="000000"/>
                <w:sz w:val="18"/>
                <w:szCs w:val="18"/>
              </w:rPr>
            </w:pPr>
            <w:r w:rsidRPr="00AB48DD">
              <w:rPr>
                <w:rFonts w:ascii="Calibri" w:eastAsia="Times New Roman" w:hAnsi="Calibri" w:cs="Calibri"/>
                <w:color w:val="000000"/>
                <w:sz w:val="18"/>
                <w:szCs w:val="18"/>
              </w:rPr>
              <w:t>676,550,837</w:t>
            </w:r>
          </w:p>
        </w:tc>
        <w:tc>
          <w:tcPr>
            <w:tcW w:w="1701" w:type="dxa"/>
            <w:shd w:val="clear" w:color="auto" w:fill="auto"/>
            <w:vAlign w:val="center"/>
            <w:hideMark/>
          </w:tcPr>
          <w:p w:rsidR="00AB48DD" w:rsidRPr="00AB48DD" w:rsidRDefault="00AB48DD" w:rsidP="00AB48DD">
            <w:pPr>
              <w:spacing w:after="0" w:line="240" w:lineRule="auto"/>
              <w:jc w:val="right"/>
              <w:rPr>
                <w:rFonts w:ascii="Calibri" w:eastAsia="Times New Roman" w:hAnsi="Calibri" w:cs="Calibri"/>
                <w:color w:val="000000"/>
                <w:sz w:val="18"/>
                <w:szCs w:val="18"/>
              </w:rPr>
            </w:pPr>
            <w:r w:rsidRPr="00AB48DD">
              <w:rPr>
                <w:rFonts w:ascii="Calibri" w:eastAsia="Times New Roman" w:hAnsi="Calibri" w:cs="Calibri"/>
                <w:color w:val="000000"/>
                <w:sz w:val="18"/>
                <w:szCs w:val="18"/>
              </w:rPr>
              <w:t>1,039,780,908</w:t>
            </w:r>
          </w:p>
        </w:tc>
        <w:tc>
          <w:tcPr>
            <w:tcW w:w="1417" w:type="dxa"/>
            <w:shd w:val="clear" w:color="auto" w:fill="auto"/>
            <w:vAlign w:val="center"/>
            <w:hideMark/>
          </w:tcPr>
          <w:p w:rsidR="00AB48DD" w:rsidRPr="00AB48DD" w:rsidRDefault="00AB48DD" w:rsidP="00AB48DD">
            <w:pPr>
              <w:spacing w:after="0" w:line="240" w:lineRule="auto"/>
              <w:jc w:val="right"/>
              <w:rPr>
                <w:rFonts w:ascii="Calibri" w:eastAsia="Times New Roman" w:hAnsi="Calibri" w:cs="Calibri"/>
                <w:color w:val="000000"/>
                <w:sz w:val="18"/>
                <w:szCs w:val="18"/>
              </w:rPr>
            </w:pPr>
            <w:r w:rsidRPr="00AB48DD">
              <w:rPr>
                <w:rFonts w:ascii="Calibri" w:eastAsia="Times New Roman" w:hAnsi="Calibri" w:cs="Calibri"/>
                <w:color w:val="000000"/>
                <w:sz w:val="18"/>
                <w:szCs w:val="18"/>
              </w:rPr>
              <w:t>1,615,142,585</w:t>
            </w:r>
          </w:p>
        </w:tc>
        <w:tc>
          <w:tcPr>
            <w:tcW w:w="1276" w:type="dxa"/>
            <w:shd w:val="clear" w:color="auto" w:fill="auto"/>
            <w:vAlign w:val="center"/>
            <w:hideMark/>
          </w:tcPr>
          <w:p w:rsidR="00AB48DD" w:rsidRPr="00AB48DD" w:rsidRDefault="00AB48DD" w:rsidP="00AB48DD">
            <w:pPr>
              <w:spacing w:after="0" w:line="240" w:lineRule="auto"/>
              <w:jc w:val="right"/>
              <w:rPr>
                <w:rFonts w:ascii="Calibri" w:eastAsia="Times New Roman" w:hAnsi="Calibri" w:cs="Calibri"/>
                <w:color w:val="000000"/>
                <w:sz w:val="18"/>
                <w:szCs w:val="18"/>
              </w:rPr>
            </w:pPr>
            <w:r w:rsidRPr="00AB48DD">
              <w:rPr>
                <w:rFonts w:ascii="Calibri" w:eastAsia="Times New Roman" w:hAnsi="Calibri" w:cs="Calibri"/>
                <w:color w:val="000000"/>
                <w:sz w:val="18"/>
                <w:szCs w:val="18"/>
              </w:rPr>
              <w:t>1,853,340,317</w:t>
            </w:r>
          </w:p>
        </w:tc>
        <w:tc>
          <w:tcPr>
            <w:tcW w:w="1559" w:type="dxa"/>
            <w:shd w:val="clear" w:color="auto" w:fill="auto"/>
            <w:vAlign w:val="center"/>
            <w:hideMark/>
          </w:tcPr>
          <w:p w:rsidR="00AB48DD" w:rsidRPr="00AB48DD" w:rsidRDefault="00AB48DD" w:rsidP="00AB48DD">
            <w:pPr>
              <w:spacing w:after="0" w:line="240" w:lineRule="auto"/>
              <w:jc w:val="right"/>
              <w:rPr>
                <w:rFonts w:ascii="Calibri" w:eastAsia="Times New Roman" w:hAnsi="Calibri" w:cs="Calibri"/>
                <w:color w:val="000000"/>
                <w:sz w:val="18"/>
                <w:szCs w:val="18"/>
              </w:rPr>
            </w:pPr>
            <w:r w:rsidRPr="00AB48DD">
              <w:rPr>
                <w:rFonts w:ascii="Calibri" w:eastAsia="Times New Roman" w:hAnsi="Calibri" w:cs="Calibri"/>
                <w:color w:val="000000"/>
                <w:sz w:val="18"/>
                <w:szCs w:val="18"/>
              </w:rPr>
              <w:t>1,912,775,190</w:t>
            </w:r>
          </w:p>
        </w:tc>
      </w:tr>
      <w:tr w:rsidR="00AB48DD" w:rsidRPr="00AB48DD" w:rsidTr="00AB48DD">
        <w:trPr>
          <w:trHeight w:val="300"/>
        </w:trPr>
        <w:tc>
          <w:tcPr>
            <w:tcW w:w="2258" w:type="dxa"/>
            <w:shd w:val="clear" w:color="auto" w:fill="auto"/>
            <w:vAlign w:val="center"/>
            <w:hideMark/>
          </w:tcPr>
          <w:p w:rsidR="00AB48DD" w:rsidRPr="00AB48DD" w:rsidRDefault="00AB48DD" w:rsidP="00AB48DD">
            <w:pPr>
              <w:spacing w:after="0" w:line="240" w:lineRule="auto"/>
              <w:rPr>
                <w:rFonts w:ascii="Calibri" w:eastAsia="Times New Roman" w:hAnsi="Calibri" w:cs="Calibri"/>
                <w:color w:val="000000"/>
                <w:sz w:val="18"/>
                <w:szCs w:val="18"/>
              </w:rPr>
            </w:pPr>
            <w:r w:rsidRPr="00AB48DD">
              <w:rPr>
                <w:rFonts w:ascii="Calibri" w:eastAsia="Times New Roman" w:hAnsi="Calibri" w:cs="Calibri"/>
                <w:color w:val="000000"/>
                <w:sz w:val="18"/>
                <w:szCs w:val="18"/>
              </w:rPr>
              <w:t>Development</w:t>
            </w:r>
          </w:p>
        </w:tc>
        <w:tc>
          <w:tcPr>
            <w:tcW w:w="1418" w:type="dxa"/>
            <w:shd w:val="clear" w:color="auto" w:fill="auto"/>
            <w:vAlign w:val="center"/>
            <w:hideMark/>
          </w:tcPr>
          <w:p w:rsidR="00AB48DD" w:rsidRPr="00AB48DD" w:rsidRDefault="00AB48DD" w:rsidP="00AB48DD">
            <w:pPr>
              <w:spacing w:after="0" w:line="240" w:lineRule="auto"/>
              <w:jc w:val="right"/>
              <w:rPr>
                <w:rFonts w:ascii="Calibri" w:eastAsia="Times New Roman" w:hAnsi="Calibri" w:cs="Calibri"/>
                <w:color w:val="000000"/>
                <w:sz w:val="18"/>
                <w:szCs w:val="18"/>
              </w:rPr>
            </w:pPr>
            <w:r w:rsidRPr="00AB48DD">
              <w:rPr>
                <w:rFonts w:ascii="Calibri" w:eastAsia="Times New Roman" w:hAnsi="Calibri" w:cs="Calibri"/>
                <w:color w:val="000000"/>
                <w:sz w:val="18"/>
                <w:szCs w:val="18"/>
              </w:rPr>
              <w:t>3,245,198,049</w:t>
            </w:r>
          </w:p>
        </w:tc>
        <w:tc>
          <w:tcPr>
            <w:tcW w:w="1701" w:type="dxa"/>
            <w:shd w:val="clear" w:color="auto" w:fill="auto"/>
            <w:vAlign w:val="center"/>
            <w:hideMark/>
          </w:tcPr>
          <w:p w:rsidR="00AB48DD" w:rsidRPr="00AB48DD" w:rsidRDefault="00AB48DD" w:rsidP="00AB48DD">
            <w:pPr>
              <w:spacing w:after="0" w:line="240" w:lineRule="auto"/>
              <w:jc w:val="right"/>
              <w:rPr>
                <w:rFonts w:ascii="Calibri" w:eastAsia="Times New Roman" w:hAnsi="Calibri" w:cs="Calibri"/>
                <w:color w:val="000000"/>
                <w:sz w:val="18"/>
                <w:szCs w:val="18"/>
              </w:rPr>
            </w:pPr>
            <w:r w:rsidRPr="00AB48DD">
              <w:rPr>
                <w:rFonts w:ascii="Calibri" w:eastAsia="Times New Roman" w:hAnsi="Calibri" w:cs="Calibri"/>
                <w:color w:val="000000"/>
                <w:sz w:val="18"/>
                <w:szCs w:val="18"/>
              </w:rPr>
              <w:t>4,489,929,990</w:t>
            </w:r>
          </w:p>
        </w:tc>
        <w:tc>
          <w:tcPr>
            <w:tcW w:w="1417" w:type="dxa"/>
            <w:shd w:val="clear" w:color="auto" w:fill="auto"/>
            <w:vAlign w:val="center"/>
            <w:hideMark/>
          </w:tcPr>
          <w:p w:rsidR="00AB48DD" w:rsidRPr="00AB48DD" w:rsidRDefault="00AB48DD" w:rsidP="00AB48DD">
            <w:pPr>
              <w:spacing w:after="0" w:line="240" w:lineRule="auto"/>
              <w:jc w:val="right"/>
              <w:rPr>
                <w:rFonts w:ascii="Calibri" w:eastAsia="Times New Roman" w:hAnsi="Calibri" w:cs="Calibri"/>
                <w:color w:val="000000"/>
                <w:sz w:val="18"/>
                <w:szCs w:val="18"/>
              </w:rPr>
            </w:pPr>
            <w:r w:rsidRPr="00AB48DD">
              <w:rPr>
                <w:rFonts w:ascii="Calibri" w:eastAsia="Times New Roman" w:hAnsi="Calibri" w:cs="Calibri"/>
                <w:color w:val="000000"/>
                <w:sz w:val="18"/>
                <w:szCs w:val="18"/>
              </w:rPr>
              <w:t>4,396,777,036</w:t>
            </w:r>
          </w:p>
        </w:tc>
        <w:tc>
          <w:tcPr>
            <w:tcW w:w="1276" w:type="dxa"/>
            <w:shd w:val="clear" w:color="auto" w:fill="auto"/>
            <w:vAlign w:val="center"/>
            <w:hideMark/>
          </w:tcPr>
          <w:p w:rsidR="00AB48DD" w:rsidRPr="00AB48DD" w:rsidRDefault="00AB48DD" w:rsidP="00AB48DD">
            <w:pPr>
              <w:spacing w:after="0" w:line="240" w:lineRule="auto"/>
              <w:jc w:val="right"/>
              <w:rPr>
                <w:rFonts w:ascii="Calibri" w:eastAsia="Times New Roman" w:hAnsi="Calibri" w:cs="Calibri"/>
                <w:color w:val="000000"/>
                <w:sz w:val="18"/>
                <w:szCs w:val="18"/>
              </w:rPr>
            </w:pPr>
            <w:r w:rsidRPr="00AB48DD">
              <w:rPr>
                <w:rFonts w:ascii="Calibri" w:eastAsia="Times New Roman" w:hAnsi="Calibri" w:cs="Calibri"/>
                <w:color w:val="000000"/>
                <w:sz w:val="18"/>
                <w:szCs w:val="18"/>
              </w:rPr>
              <w:t>4,609,590,020</w:t>
            </w:r>
          </w:p>
        </w:tc>
        <w:tc>
          <w:tcPr>
            <w:tcW w:w="1559" w:type="dxa"/>
            <w:shd w:val="clear" w:color="auto" w:fill="auto"/>
            <w:vAlign w:val="center"/>
            <w:hideMark/>
          </w:tcPr>
          <w:p w:rsidR="00AB48DD" w:rsidRPr="00AB48DD" w:rsidRDefault="00AB48DD" w:rsidP="00AB48DD">
            <w:pPr>
              <w:spacing w:after="0" w:line="240" w:lineRule="auto"/>
              <w:jc w:val="right"/>
              <w:rPr>
                <w:rFonts w:ascii="Calibri" w:eastAsia="Times New Roman" w:hAnsi="Calibri" w:cs="Calibri"/>
                <w:color w:val="000000"/>
                <w:sz w:val="18"/>
                <w:szCs w:val="18"/>
              </w:rPr>
            </w:pPr>
            <w:r w:rsidRPr="00AB48DD">
              <w:rPr>
                <w:rFonts w:ascii="Calibri" w:eastAsia="Times New Roman" w:hAnsi="Calibri" w:cs="Calibri"/>
                <w:color w:val="000000"/>
                <w:sz w:val="18"/>
                <w:szCs w:val="18"/>
              </w:rPr>
              <w:t>4,932,946,543</w:t>
            </w:r>
          </w:p>
        </w:tc>
      </w:tr>
      <w:tr w:rsidR="00AB48DD" w:rsidRPr="00AB48DD" w:rsidTr="00AB48DD">
        <w:trPr>
          <w:trHeight w:val="300"/>
        </w:trPr>
        <w:tc>
          <w:tcPr>
            <w:tcW w:w="2258" w:type="dxa"/>
            <w:shd w:val="clear" w:color="auto" w:fill="auto"/>
            <w:vAlign w:val="center"/>
            <w:hideMark/>
          </w:tcPr>
          <w:p w:rsidR="00AB48DD" w:rsidRPr="00AB48DD" w:rsidRDefault="00AB48DD" w:rsidP="00AB48DD">
            <w:pPr>
              <w:spacing w:after="0" w:line="240" w:lineRule="auto"/>
              <w:rPr>
                <w:rFonts w:ascii="Calibri" w:eastAsia="Times New Roman" w:hAnsi="Calibri" w:cs="Calibri"/>
                <w:color w:val="000000"/>
                <w:sz w:val="18"/>
                <w:szCs w:val="18"/>
              </w:rPr>
            </w:pPr>
            <w:r w:rsidRPr="00AB48DD">
              <w:rPr>
                <w:rFonts w:ascii="Calibri" w:eastAsia="Times New Roman" w:hAnsi="Calibri" w:cs="Calibri"/>
                <w:color w:val="000000"/>
                <w:sz w:val="18"/>
                <w:szCs w:val="18"/>
              </w:rPr>
              <w:t>Un spent Bal FY</w:t>
            </w:r>
          </w:p>
        </w:tc>
        <w:tc>
          <w:tcPr>
            <w:tcW w:w="1418" w:type="dxa"/>
            <w:shd w:val="clear" w:color="auto" w:fill="auto"/>
            <w:vAlign w:val="center"/>
            <w:hideMark/>
          </w:tcPr>
          <w:p w:rsidR="00AB48DD" w:rsidRPr="00AB48DD" w:rsidRDefault="00AB48DD" w:rsidP="00AB48DD">
            <w:pPr>
              <w:spacing w:after="0" w:line="240" w:lineRule="auto"/>
              <w:jc w:val="right"/>
              <w:rPr>
                <w:rFonts w:ascii="Calibri" w:eastAsia="Times New Roman" w:hAnsi="Calibri" w:cs="Calibri"/>
                <w:color w:val="000000"/>
                <w:sz w:val="18"/>
                <w:szCs w:val="18"/>
              </w:rPr>
            </w:pPr>
            <w:r w:rsidRPr="00AB48DD">
              <w:rPr>
                <w:rFonts w:ascii="Calibri" w:eastAsia="Times New Roman" w:hAnsi="Calibri" w:cs="Calibri"/>
                <w:color w:val="000000"/>
                <w:sz w:val="18"/>
                <w:szCs w:val="18"/>
              </w:rPr>
              <w:t>582,160,319</w:t>
            </w:r>
          </w:p>
        </w:tc>
        <w:tc>
          <w:tcPr>
            <w:tcW w:w="1701" w:type="dxa"/>
            <w:shd w:val="clear" w:color="auto" w:fill="auto"/>
            <w:vAlign w:val="center"/>
            <w:hideMark/>
          </w:tcPr>
          <w:p w:rsidR="00AB48DD" w:rsidRPr="00AB48DD" w:rsidRDefault="00AB48DD" w:rsidP="00AB48DD">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w:t>
            </w:r>
          </w:p>
        </w:tc>
        <w:tc>
          <w:tcPr>
            <w:tcW w:w="1417" w:type="dxa"/>
            <w:shd w:val="clear" w:color="auto" w:fill="auto"/>
            <w:vAlign w:val="center"/>
            <w:hideMark/>
          </w:tcPr>
          <w:p w:rsidR="00AB48DD" w:rsidRPr="00AB48DD" w:rsidRDefault="00AB48DD" w:rsidP="00AB48DD">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w:t>
            </w:r>
          </w:p>
        </w:tc>
        <w:tc>
          <w:tcPr>
            <w:tcW w:w="1276" w:type="dxa"/>
            <w:shd w:val="clear" w:color="auto" w:fill="auto"/>
            <w:vAlign w:val="center"/>
            <w:hideMark/>
          </w:tcPr>
          <w:p w:rsidR="00AB48DD" w:rsidRPr="00AB48DD" w:rsidRDefault="00AB48DD" w:rsidP="00AB48DD">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w:t>
            </w:r>
          </w:p>
        </w:tc>
        <w:tc>
          <w:tcPr>
            <w:tcW w:w="1559" w:type="dxa"/>
            <w:shd w:val="clear" w:color="auto" w:fill="auto"/>
            <w:vAlign w:val="center"/>
            <w:hideMark/>
          </w:tcPr>
          <w:p w:rsidR="00AB48DD" w:rsidRPr="00AB48DD" w:rsidRDefault="00AB48DD" w:rsidP="00AB48DD">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w:t>
            </w:r>
          </w:p>
        </w:tc>
      </w:tr>
      <w:tr w:rsidR="00AB48DD" w:rsidRPr="00AB48DD" w:rsidTr="00AB48DD">
        <w:trPr>
          <w:trHeight w:val="300"/>
        </w:trPr>
        <w:tc>
          <w:tcPr>
            <w:tcW w:w="2258" w:type="dxa"/>
            <w:shd w:val="clear" w:color="auto" w:fill="auto"/>
            <w:vAlign w:val="center"/>
            <w:hideMark/>
          </w:tcPr>
          <w:p w:rsidR="00AB48DD" w:rsidRPr="00AB48DD" w:rsidRDefault="00AB48DD" w:rsidP="00AB48DD">
            <w:pPr>
              <w:spacing w:after="0" w:line="240" w:lineRule="auto"/>
              <w:rPr>
                <w:rFonts w:ascii="Calibri" w:eastAsia="Times New Roman" w:hAnsi="Calibri" w:cs="Calibri"/>
                <w:b/>
                <w:bCs/>
                <w:color w:val="000000"/>
                <w:sz w:val="18"/>
                <w:szCs w:val="18"/>
              </w:rPr>
            </w:pPr>
            <w:r w:rsidRPr="00AB48DD">
              <w:rPr>
                <w:rFonts w:ascii="Calibri" w:eastAsia="Times New Roman" w:hAnsi="Calibri" w:cs="Calibri"/>
                <w:b/>
                <w:bCs/>
                <w:color w:val="000000"/>
                <w:sz w:val="18"/>
                <w:szCs w:val="18"/>
              </w:rPr>
              <w:t>Total</w:t>
            </w:r>
          </w:p>
        </w:tc>
        <w:tc>
          <w:tcPr>
            <w:tcW w:w="1418" w:type="dxa"/>
            <w:shd w:val="clear" w:color="auto" w:fill="auto"/>
            <w:vAlign w:val="center"/>
            <w:hideMark/>
          </w:tcPr>
          <w:p w:rsidR="00AB48DD" w:rsidRPr="00AB48DD" w:rsidRDefault="00AB48DD" w:rsidP="00AB48DD">
            <w:pPr>
              <w:spacing w:after="0" w:line="240" w:lineRule="auto"/>
              <w:jc w:val="right"/>
              <w:rPr>
                <w:rFonts w:ascii="Calibri" w:eastAsia="Times New Roman" w:hAnsi="Calibri" w:cs="Calibri"/>
                <w:b/>
                <w:bCs/>
                <w:color w:val="000000"/>
                <w:sz w:val="18"/>
                <w:szCs w:val="18"/>
              </w:rPr>
            </w:pPr>
            <w:r w:rsidRPr="00AB48DD">
              <w:rPr>
                <w:rFonts w:ascii="Calibri" w:eastAsia="Times New Roman" w:hAnsi="Calibri" w:cs="Calibri"/>
                <w:b/>
                <w:bCs/>
                <w:color w:val="000000"/>
                <w:sz w:val="18"/>
                <w:szCs w:val="18"/>
              </w:rPr>
              <w:t>7,305,520,751</w:t>
            </w:r>
          </w:p>
        </w:tc>
        <w:tc>
          <w:tcPr>
            <w:tcW w:w="1701" w:type="dxa"/>
            <w:shd w:val="clear" w:color="auto" w:fill="auto"/>
            <w:vAlign w:val="center"/>
            <w:hideMark/>
          </w:tcPr>
          <w:p w:rsidR="00AB48DD" w:rsidRPr="00AB48DD" w:rsidRDefault="00AB48DD" w:rsidP="00AB48DD">
            <w:pPr>
              <w:spacing w:after="0" w:line="240" w:lineRule="auto"/>
              <w:jc w:val="right"/>
              <w:rPr>
                <w:rFonts w:ascii="Calibri" w:eastAsia="Times New Roman" w:hAnsi="Calibri" w:cs="Calibri"/>
                <w:b/>
                <w:bCs/>
                <w:color w:val="000000"/>
                <w:sz w:val="18"/>
                <w:szCs w:val="18"/>
              </w:rPr>
            </w:pPr>
            <w:r w:rsidRPr="00AB48DD">
              <w:rPr>
                <w:rFonts w:ascii="Calibri" w:eastAsia="Times New Roman" w:hAnsi="Calibri" w:cs="Calibri"/>
                <w:b/>
                <w:bCs/>
                <w:color w:val="000000"/>
                <w:sz w:val="18"/>
                <w:szCs w:val="18"/>
              </w:rPr>
              <w:t>8,471,566,018</w:t>
            </w:r>
          </w:p>
        </w:tc>
        <w:tc>
          <w:tcPr>
            <w:tcW w:w="1417" w:type="dxa"/>
            <w:shd w:val="clear" w:color="auto" w:fill="auto"/>
            <w:vAlign w:val="center"/>
            <w:hideMark/>
          </w:tcPr>
          <w:p w:rsidR="00AB48DD" w:rsidRPr="00AB48DD" w:rsidRDefault="00AB48DD" w:rsidP="00AB48DD">
            <w:pPr>
              <w:spacing w:after="0" w:line="240" w:lineRule="auto"/>
              <w:jc w:val="right"/>
              <w:rPr>
                <w:rFonts w:ascii="Calibri" w:eastAsia="Times New Roman" w:hAnsi="Calibri" w:cs="Calibri"/>
                <w:b/>
                <w:bCs/>
                <w:color w:val="000000"/>
                <w:sz w:val="18"/>
                <w:szCs w:val="18"/>
              </w:rPr>
            </w:pPr>
            <w:r w:rsidRPr="00AB48DD">
              <w:rPr>
                <w:rFonts w:ascii="Calibri" w:eastAsia="Times New Roman" w:hAnsi="Calibri" w:cs="Calibri"/>
                <w:b/>
                <w:bCs/>
                <w:color w:val="000000"/>
                <w:sz w:val="18"/>
                <w:szCs w:val="18"/>
              </w:rPr>
              <w:t>8,973,014,359</w:t>
            </w:r>
          </w:p>
        </w:tc>
        <w:tc>
          <w:tcPr>
            <w:tcW w:w="1276" w:type="dxa"/>
            <w:shd w:val="clear" w:color="auto" w:fill="auto"/>
            <w:vAlign w:val="center"/>
            <w:hideMark/>
          </w:tcPr>
          <w:p w:rsidR="00AB48DD" w:rsidRPr="00AB48DD" w:rsidRDefault="00AB48DD" w:rsidP="00AB48DD">
            <w:pPr>
              <w:spacing w:after="0" w:line="240" w:lineRule="auto"/>
              <w:jc w:val="right"/>
              <w:rPr>
                <w:rFonts w:ascii="Calibri" w:eastAsia="Times New Roman" w:hAnsi="Calibri" w:cs="Calibri"/>
                <w:b/>
                <w:bCs/>
                <w:color w:val="000000"/>
                <w:sz w:val="18"/>
                <w:szCs w:val="18"/>
              </w:rPr>
            </w:pPr>
            <w:r w:rsidRPr="00AB48DD">
              <w:rPr>
                <w:rFonts w:ascii="Calibri" w:eastAsia="Times New Roman" w:hAnsi="Calibri" w:cs="Calibri"/>
                <w:b/>
                <w:bCs/>
                <w:color w:val="000000"/>
                <w:sz w:val="18"/>
                <w:szCs w:val="18"/>
              </w:rPr>
              <w:t>9,504,309,320</w:t>
            </w:r>
          </w:p>
        </w:tc>
        <w:tc>
          <w:tcPr>
            <w:tcW w:w="1559" w:type="dxa"/>
            <w:shd w:val="clear" w:color="auto" w:fill="auto"/>
            <w:vAlign w:val="center"/>
            <w:hideMark/>
          </w:tcPr>
          <w:p w:rsidR="00AB48DD" w:rsidRPr="00AB48DD" w:rsidRDefault="00AB48DD" w:rsidP="00AB48DD">
            <w:pPr>
              <w:spacing w:after="0" w:line="240" w:lineRule="auto"/>
              <w:jc w:val="right"/>
              <w:rPr>
                <w:rFonts w:ascii="Calibri" w:eastAsia="Times New Roman" w:hAnsi="Calibri" w:cs="Calibri"/>
                <w:b/>
                <w:bCs/>
                <w:color w:val="000000"/>
                <w:sz w:val="18"/>
                <w:szCs w:val="18"/>
              </w:rPr>
            </w:pPr>
            <w:r w:rsidRPr="00AB48DD">
              <w:rPr>
                <w:rFonts w:ascii="Calibri" w:eastAsia="Times New Roman" w:hAnsi="Calibri" w:cs="Calibri"/>
                <w:b/>
                <w:bCs/>
                <w:color w:val="000000"/>
                <w:sz w:val="18"/>
                <w:szCs w:val="18"/>
              </w:rPr>
              <w:t>10,067,237,843</w:t>
            </w:r>
          </w:p>
        </w:tc>
      </w:tr>
    </w:tbl>
    <w:p w:rsidR="008C4F83" w:rsidRPr="00047254" w:rsidRDefault="0014245A" w:rsidP="00AB48DD">
      <w:pPr>
        <w:pStyle w:val="ListParagraph"/>
        <w:numPr>
          <w:ilvl w:val="1"/>
          <w:numId w:val="36"/>
        </w:numPr>
        <w:spacing w:before="120"/>
        <w:ind w:left="539" w:hanging="539"/>
        <w:rPr>
          <w:rFonts w:asciiTheme="majorHAnsi" w:hAnsiTheme="majorHAnsi" w:cstheme="minorHAnsi"/>
          <w:b/>
          <w:sz w:val="24"/>
          <w:szCs w:val="24"/>
        </w:rPr>
      </w:pPr>
      <w:r w:rsidRPr="00047254">
        <w:rPr>
          <w:rFonts w:asciiTheme="majorHAnsi" w:hAnsiTheme="majorHAnsi" w:cstheme="minorHAnsi"/>
          <w:b/>
          <w:sz w:val="24"/>
          <w:szCs w:val="24"/>
        </w:rPr>
        <w:t>Projected Fiscal Balance</w:t>
      </w:r>
    </w:p>
    <w:p w:rsidR="0014245A" w:rsidRPr="00C4418D" w:rsidRDefault="00B82425" w:rsidP="00542DE0">
      <w:pPr>
        <w:rPr>
          <w:rFonts w:cstheme="minorHAnsi"/>
          <w:sz w:val="24"/>
          <w:szCs w:val="24"/>
        </w:rPr>
      </w:pPr>
      <w:r>
        <w:rPr>
          <w:rFonts w:cstheme="minorHAnsi"/>
        </w:rPr>
        <w:t>The proposed 2023/24</w:t>
      </w:r>
      <w:r w:rsidR="0014245A" w:rsidRPr="00EB1AA7">
        <w:rPr>
          <w:rFonts w:cstheme="minorHAnsi"/>
        </w:rPr>
        <w:t xml:space="preserve"> county budget is balanced, but however, any shortfall in revenue that may occur within the year will be addressed through supplementary or borrowing within the borrowing framework by sub-nationals as approved by the Intergovernmental Budget and Economic Forum (IBEC).</w:t>
      </w:r>
    </w:p>
    <w:p w:rsidR="00DB30B9" w:rsidRPr="00C4418D" w:rsidRDefault="00DB30B9" w:rsidP="003B407E">
      <w:pPr>
        <w:spacing w:line="360" w:lineRule="auto"/>
        <w:jc w:val="both"/>
        <w:rPr>
          <w:rFonts w:cstheme="minorHAnsi"/>
          <w:sz w:val="24"/>
          <w:szCs w:val="24"/>
        </w:rPr>
        <w:sectPr w:rsidR="00DB30B9" w:rsidRPr="00C4418D" w:rsidSect="00CC7824">
          <w:pgSz w:w="11907" w:h="16839" w:code="9"/>
          <w:pgMar w:top="1440" w:right="1440" w:bottom="1440" w:left="1440" w:header="720" w:footer="720" w:gutter="0"/>
          <w:cols w:space="720"/>
          <w:docGrid w:linePitch="360"/>
        </w:sectPr>
      </w:pPr>
    </w:p>
    <w:p w:rsidR="00461C69" w:rsidRPr="001154EB" w:rsidRDefault="00DB30B9" w:rsidP="001154EB">
      <w:pPr>
        <w:pStyle w:val="Heading1"/>
        <w:numPr>
          <w:ilvl w:val="0"/>
          <w:numId w:val="43"/>
        </w:numPr>
        <w:pBdr>
          <w:bottom w:val="single" w:sz="4" w:space="1" w:color="auto"/>
        </w:pBdr>
        <w:spacing w:after="240"/>
        <w:ind w:hanging="720"/>
        <w:rPr>
          <w:color w:val="auto"/>
        </w:rPr>
      </w:pPr>
      <w:bookmarkStart w:id="32" w:name="_Toc525549624"/>
      <w:r w:rsidRPr="001154EB">
        <w:rPr>
          <w:color w:val="auto"/>
        </w:rPr>
        <w:t>CONCLUSION</w:t>
      </w:r>
      <w:bookmarkEnd w:id="32"/>
      <w:r w:rsidRPr="001154EB">
        <w:rPr>
          <w:color w:val="auto"/>
        </w:rPr>
        <w:t xml:space="preserve"> </w:t>
      </w:r>
    </w:p>
    <w:p w:rsidR="00AB262B" w:rsidRDefault="00BD52A9" w:rsidP="00BD52A9">
      <w:pPr>
        <w:rPr>
          <w:rFonts w:cstheme="minorHAnsi"/>
        </w:rPr>
      </w:pPr>
      <w:r w:rsidRPr="00BD52A9">
        <w:rPr>
          <w:rFonts w:cstheme="minorHAnsi"/>
        </w:rPr>
        <w:t xml:space="preserve">The FY </w:t>
      </w:r>
      <w:r w:rsidR="00B82425">
        <w:rPr>
          <w:rFonts w:cstheme="minorHAnsi"/>
        </w:rPr>
        <w:t>2023/24</w:t>
      </w:r>
      <w:r w:rsidRPr="00BD52A9">
        <w:rPr>
          <w:rFonts w:cstheme="minorHAnsi"/>
        </w:rPr>
        <w:t xml:space="preserve"> budget is being prepared within the context of a moderate global economic recovery. As</w:t>
      </w:r>
      <w:r w:rsidR="00733633">
        <w:rPr>
          <w:rFonts w:cstheme="minorHAnsi"/>
        </w:rPr>
        <w:t xml:space="preserve"> the National Government scales up the </w:t>
      </w:r>
      <w:r w:rsidR="00B82425">
        <w:rPr>
          <w:rFonts w:cstheme="minorHAnsi"/>
        </w:rPr>
        <w:t>implementation of “The Bottom up</w:t>
      </w:r>
      <w:r w:rsidRPr="00BD52A9">
        <w:rPr>
          <w:rFonts w:cstheme="minorHAnsi"/>
        </w:rPr>
        <w:t xml:space="preserve">” Plan, the </w:t>
      </w:r>
      <w:r w:rsidR="00733633">
        <w:rPr>
          <w:rFonts w:cstheme="minorHAnsi"/>
        </w:rPr>
        <w:t xml:space="preserve">County Government has also aligned the County Integrated Development Plan and the Annual Development Plans to ensure that the County Specific targeted interventions are funded and implemented. </w:t>
      </w:r>
      <w:r w:rsidRPr="00BD52A9">
        <w:rPr>
          <w:rFonts w:cstheme="minorHAnsi"/>
        </w:rPr>
        <w:t>The aim of the MTEF is therefore to strike an appropriate balance between support for growth and continued fiscal discipline while providing room for the implementation of the</w:t>
      </w:r>
      <w:r w:rsidR="00AB262B">
        <w:rPr>
          <w:rFonts w:cstheme="minorHAnsi"/>
        </w:rPr>
        <w:t xml:space="preserve"> County governments CIDP.</w:t>
      </w:r>
    </w:p>
    <w:p w:rsidR="0069674C" w:rsidRDefault="00AB262B" w:rsidP="00BD52A9">
      <w:pPr>
        <w:rPr>
          <w:rFonts w:cstheme="minorHAnsi"/>
        </w:rPr>
      </w:pPr>
      <w:r>
        <w:rPr>
          <w:rFonts w:cstheme="minorHAnsi"/>
        </w:rPr>
        <w:t>T</w:t>
      </w:r>
      <w:r w:rsidR="00BD52A9" w:rsidRPr="00BD52A9">
        <w:rPr>
          <w:rFonts w:cstheme="minorHAnsi"/>
        </w:rPr>
        <w:t>o create fiscal space and gu</w:t>
      </w:r>
      <w:r w:rsidR="003F0CF9">
        <w:rPr>
          <w:rFonts w:cstheme="minorHAnsi"/>
        </w:rPr>
        <w:t xml:space="preserve">arantee appropriate phasing </w:t>
      </w:r>
      <w:r w:rsidR="00BD52A9" w:rsidRPr="00BD52A9">
        <w:rPr>
          <w:rFonts w:cstheme="minorHAnsi"/>
        </w:rPr>
        <w:t>of expenditure programmes, Sectors</w:t>
      </w:r>
      <w:r>
        <w:rPr>
          <w:rFonts w:cstheme="minorHAnsi"/>
        </w:rPr>
        <w:t xml:space="preserve"> and the Sector Working Groups </w:t>
      </w:r>
      <w:r w:rsidR="00BD52A9" w:rsidRPr="00BD52A9">
        <w:rPr>
          <w:rFonts w:cstheme="minorHAnsi"/>
        </w:rPr>
        <w:t>will be required to conduct a thorough scrutiny of all proposed</w:t>
      </w:r>
      <w:r>
        <w:rPr>
          <w:rFonts w:cstheme="minorHAnsi"/>
        </w:rPr>
        <w:t xml:space="preserve"> </w:t>
      </w:r>
      <w:r w:rsidR="003F0CF9">
        <w:rPr>
          <w:rFonts w:cstheme="minorHAnsi"/>
        </w:rPr>
        <w:t xml:space="preserve">activities and </w:t>
      </w:r>
      <w:r w:rsidR="00B82425">
        <w:rPr>
          <w:rFonts w:cstheme="minorHAnsi"/>
        </w:rPr>
        <w:t>Budgets for FY 2023/24</w:t>
      </w:r>
      <w:r w:rsidR="00BD52A9" w:rsidRPr="00BD52A9">
        <w:rPr>
          <w:rFonts w:cstheme="minorHAnsi"/>
        </w:rPr>
        <w:t xml:space="preserve"> to ensure that they are not only directed towards improving productivity but also aligned to the achievement of the </w:t>
      </w:r>
      <w:r>
        <w:rPr>
          <w:rFonts w:cstheme="minorHAnsi"/>
        </w:rPr>
        <w:t xml:space="preserve">CIDP </w:t>
      </w:r>
      <w:r w:rsidR="00BD52A9" w:rsidRPr="00BD52A9">
        <w:rPr>
          <w:rFonts w:cstheme="minorHAnsi"/>
        </w:rPr>
        <w:t>objectives</w:t>
      </w:r>
      <w:r>
        <w:rPr>
          <w:rFonts w:cstheme="minorHAnsi"/>
        </w:rPr>
        <w:t xml:space="preserve">. </w:t>
      </w:r>
      <w:r w:rsidR="00BD52A9" w:rsidRPr="00BD52A9">
        <w:rPr>
          <w:rFonts w:cstheme="minorHAnsi"/>
        </w:rPr>
        <w:t xml:space="preserve">As such, the fiscal strategy in this </w:t>
      </w:r>
      <w:r>
        <w:rPr>
          <w:rFonts w:cstheme="minorHAnsi"/>
        </w:rPr>
        <w:t>C</w:t>
      </w:r>
      <w:r w:rsidR="00BD52A9" w:rsidRPr="00BD52A9">
        <w:rPr>
          <w:rFonts w:cstheme="minorHAnsi"/>
        </w:rPr>
        <w:t xml:space="preserve">BROP will focus on enhancing overall revenue collection and reallocating resources to </w:t>
      </w:r>
      <w:r w:rsidR="003F0CF9">
        <w:rPr>
          <w:rFonts w:cstheme="minorHAnsi"/>
        </w:rPr>
        <w:t>the targeted sectors of the County as envisaged in the CIDP</w:t>
      </w:r>
      <w:r w:rsidR="00BD52A9" w:rsidRPr="00BD52A9">
        <w:rPr>
          <w:rFonts w:cstheme="minorHAnsi"/>
        </w:rPr>
        <w:t xml:space="preserve">. </w:t>
      </w:r>
    </w:p>
    <w:p w:rsidR="00BD52A9" w:rsidRPr="00BD52A9" w:rsidRDefault="00BD52A9" w:rsidP="00BD52A9">
      <w:pPr>
        <w:rPr>
          <w:rFonts w:cstheme="minorHAnsi"/>
        </w:rPr>
      </w:pPr>
      <w:r w:rsidRPr="00BD52A9">
        <w:rPr>
          <w:rFonts w:cstheme="minorHAnsi"/>
        </w:rPr>
        <w:t>The</w:t>
      </w:r>
      <w:r w:rsidR="003F0CF9">
        <w:rPr>
          <w:rFonts w:cstheme="minorHAnsi"/>
        </w:rPr>
        <w:t xml:space="preserve"> Government will continue with a strategy to ensure that </w:t>
      </w:r>
      <w:r w:rsidR="0022337B">
        <w:rPr>
          <w:rFonts w:cstheme="minorHAnsi"/>
        </w:rPr>
        <w:t xml:space="preserve">the budget is strictly followed and service delivery is given focal attention to achieve the set objectives. The resource </w:t>
      </w:r>
      <w:r w:rsidR="0024156C">
        <w:rPr>
          <w:rFonts w:cstheme="minorHAnsi"/>
        </w:rPr>
        <w:t>ceilings</w:t>
      </w:r>
      <w:r w:rsidR="0022337B">
        <w:rPr>
          <w:rFonts w:cstheme="minorHAnsi"/>
        </w:rPr>
        <w:t xml:space="preserve"> projected in this document should guide the Sector Working Groups to </w:t>
      </w:r>
      <w:r w:rsidR="0024156C">
        <w:rPr>
          <w:rFonts w:cstheme="minorHAnsi"/>
        </w:rPr>
        <w:t>prioritize</w:t>
      </w:r>
      <w:r w:rsidR="0022337B">
        <w:rPr>
          <w:rFonts w:cstheme="minorHAnsi"/>
        </w:rPr>
        <w:t xml:space="preserve"> the key productive activities contained in the Annual Development Plan to ensure </w:t>
      </w:r>
      <w:r w:rsidR="00AD2FA2">
        <w:rPr>
          <w:rFonts w:cstheme="minorHAnsi"/>
        </w:rPr>
        <w:t xml:space="preserve">consistency in the development interventions of the County. </w:t>
      </w:r>
      <w:r w:rsidRPr="00BD52A9">
        <w:rPr>
          <w:rFonts w:cstheme="minorHAnsi"/>
        </w:rPr>
        <w:t xml:space="preserve">Taking this into account, the overall expenditure </w:t>
      </w:r>
      <w:r w:rsidR="00AD2FA2">
        <w:rPr>
          <w:rFonts w:cstheme="minorHAnsi"/>
        </w:rPr>
        <w:t>is expected to increase by 5</w:t>
      </w:r>
      <w:r w:rsidR="00697969">
        <w:rPr>
          <w:rFonts w:cstheme="minorHAnsi"/>
        </w:rPr>
        <w:t>% between the budget for FY 2022/23</w:t>
      </w:r>
      <w:r w:rsidR="00AD2FA2">
        <w:rPr>
          <w:rFonts w:cstheme="minorHAnsi"/>
        </w:rPr>
        <w:t xml:space="preserve"> and the projected ceiling of Kshs </w:t>
      </w:r>
      <w:r w:rsidR="00697969">
        <w:rPr>
          <w:rFonts w:cstheme="minorHAnsi"/>
        </w:rPr>
        <w:t>8,973,014,359</w:t>
      </w:r>
      <w:r w:rsidR="00AD2FA2">
        <w:rPr>
          <w:rFonts w:cstheme="minorHAnsi"/>
        </w:rPr>
        <w:t xml:space="preserve"> for FY </w:t>
      </w:r>
      <w:r w:rsidR="00697969">
        <w:rPr>
          <w:rFonts w:cstheme="minorHAnsi"/>
        </w:rPr>
        <w:t>2023/24</w:t>
      </w:r>
      <w:r w:rsidR="00AD2FA2">
        <w:rPr>
          <w:rFonts w:cstheme="minorHAnsi"/>
        </w:rPr>
        <w:t xml:space="preserve"> as provisionally projected in the CBROP. </w:t>
      </w:r>
      <w:r w:rsidRPr="00BD52A9">
        <w:rPr>
          <w:rFonts w:cstheme="minorHAnsi"/>
        </w:rPr>
        <w:t xml:space="preserve">SWGs are required to prepare medium-term budgets that are consistent with the Medium-Term Fiscal Framework. The resource envelope for each Sector </w:t>
      </w:r>
      <w:r w:rsidR="008E3C09">
        <w:rPr>
          <w:rFonts w:cstheme="minorHAnsi"/>
        </w:rPr>
        <w:t xml:space="preserve">has been provided under table </w:t>
      </w:r>
      <w:r w:rsidR="00B82425">
        <w:rPr>
          <w:rFonts w:cstheme="minorHAnsi"/>
        </w:rPr>
        <w:t>2.</w:t>
      </w:r>
      <w:r w:rsidR="008E3C09">
        <w:rPr>
          <w:rFonts w:cstheme="minorHAnsi"/>
        </w:rPr>
        <w:t xml:space="preserve">5. These </w:t>
      </w:r>
      <w:r w:rsidRPr="00BD52A9">
        <w:rPr>
          <w:rFonts w:cstheme="minorHAnsi"/>
        </w:rPr>
        <w:t xml:space="preserve">ceilings will form inputs into the next </w:t>
      </w:r>
      <w:r w:rsidR="008E3C09">
        <w:rPr>
          <w:rFonts w:cstheme="minorHAnsi"/>
        </w:rPr>
        <w:t>County Fiscal Strategy Paper (CFSP)</w:t>
      </w:r>
      <w:r w:rsidR="007709A0">
        <w:rPr>
          <w:rFonts w:cstheme="minorHAnsi"/>
        </w:rPr>
        <w:t xml:space="preserve"> which will be finalized by the 28 </w:t>
      </w:r>
      <w:r w:rsidRPr="00BD52A9">
        <w:rPr>
          <w:rFonts w:cstheme="minorHAnsi"/>
        </w:rPr>
        <w:t xml:space="preserve">February </w:t>
      </w:r>
      <w:r w:rsidR="00B82425">
        <w:rPr>
          <w:rFonts w:cstheme="minorHAnsi"/>
        </w:rPr>
        <w:t>2023</w:t>
      </w:r>
      <w:r w:rsidRPr="00BD52A9">
        <w:rPr>
          <w:rFonts w:cstheme="minorHAnsi"/>
        </w:rPr>
        <w:t xml:space="preserve">. </w:t>
      </w:r>
    </w:p>
    <w:p w:rsidR="007709A0" w:rsidRDefault="007709A0" w:rsidP="00631583">
      <w:pPr>
        <w:rPr>
          <w:rFonts w:cstheme="minorHAnsi"/>
        </w:rPr>
        <w:sectPr w:rsidR="007709A0" w:rsidSect="00D74A81">
          <w:pgSz w:w="11907" w:h="16839" w:code="9"/>
          <w:pgMar w:top="1440" w:right="1440" w:bottom="1440" w:left="1440" w:header="720" w:footer="720" w:gutter="0"/>
          <w:cols w:space="720"/>
          <w:docGrid w:linePitch="360"/>
        </w:sectPr>
      </w:pPr>
    </w:p>
    <w:p w:rsidR="00047254" w:rsidRPr="00944CA4" w:rsidRDefault="00047254" w:rsidP="00944CA4">
      <w:pPr>
        <w:pStyle w:val="Heading1"/>
        <w:pBdr>
          <w:bottom w:val="single" w:sz="4" w:space="1" w:color="auto"/>
        </w:pBdr>
        <w:spacing w:after="240"/>
        <w:rPr>
          <w:color w:val="auto"/>
        </w:rPr>
      </w:pPr>
      <w:bookmarkStart w:id="33" w:name="_Toc525549625"/>
      <w:r w:rsidRPr="00944CA4">
        <w:rPr>
          <w:color w:val="auto"/>
        </w:rPr>
        <w:t>A</w:t>
      </w:r>
      <w:r w:rsidR="00EF5EC7">
        <w:rPr>
          <w:color w:val="auto"/>
        </w:rPr>
        <w:t>NNEXES</w:t>
      </w:r>
      <w:bookmarkEnd w:id="33"/>
    </w:p>
    <w:p w:rsidR="00047254" w:rsidRDefault="00047254" w:rsidP="00B35D2B">
      <w:pPr>
        <w:autoSpaceDE w:val="0"/>
        <w:autoSpaceDN w:val="0"/>
        <w:adjustRightInd w:val="0"/>
        <w:spacing w:after="0" w:line="240" w:lineRule="auto"/>
        <w:jc w:val="both"/>
        <w:rPr>
          <w:rFonts w:cstheme="minorHAnsi"/>
          <w:b/>
          <w:bCs/>
        </w:rPr>
      </w:pPr>
    </w:p>
    <w:p w:rsidR="006150DC" w:rsidRPr="00EF5EC7" w:rsidRDefault="00631583" w:rsidP="00EF5EC7">
      <w:pPr>
        <w:rPr>
          <w:rFonts w:asciiTheme="majorHAnsi" w:hAnsiTheme="majorHAnsi" w:cstheme="minorHAnsi"/>
          <w:b/>
          <w:sz w:val="24"/>
          <w:szCs w:val="24"/>
        </w:rPr>
      </w:pPr>
      <w:r w:rsidRPr="00EF5EC7">
        <w:rPr>
          <w:rFonts w:asciiTheme="majorHAnsi" w:hAnsiTheme="majorHAnsi" w:cstheme="minorHAnsi"/>
          <w:b/>
          <w:sz w:val="24"/>
          <w:szCs w:val="24"/>
        </w:rPr>
        <w:t>Annex 1</w:t>
      </w:r>
      <w:r w:rsidR="006150DC" w:rsidRPr="00EF5EC7">
        <w:rPr>
          <w:rFonts w:asciiTheme="majorHAnsi" w:hAnsiTheme="majorHAnsi" w:cstheme="minorHAnsi"/>
          <w:b/>
          <w:sz w:val="24"/>
          <w:szCs w:val="24"/>
        </w:rPr>
        <w:t xml:space="preserve">: </w:t>
      </w:r>
      <w:r w:rsidR="00F40689" w:rsidRPr="00EF5EC7">
        <w:rPr>
          <w:rFonts w:asciiTheme="majorHAnsi" w:hAnsiTheme="majorHAnsi" w:cstheme="minorHAnsi"/>
          <w:b/>
          <w:sz w:val="24"/>
          <w:szCs w:val="24"/>
        </w:rPr>
        <w:t>Budget Calendar for t</w:t>
      </w:r>
      <w:r w:rsidR="00B82425">
        <w:rPr>
          <w:rFonts w:asciiTheme="majorHAnsi" w:hAnsiTheme="majorHAnsi" w:cstheme="minorHAnsi"/>
          <w:b/>
          <w:sz w:val="24"/>
          <w:szCs w:val="24"/>
        </w:rPr>
        <w:t>he FY 2023/24</w:t>
      </w:r>
      <w:r w:rsidR="00F40689" w:rsidRPr="00EF5EC7">
        <w:rPr>
          <w:rFonts w:asciiTheme="majorHAnsi" w:hAnsiTheme="majorHAnsi" w:cstheme="minorHAnsi"/>
          <w:b/>
          <w:sz w:val="24"/>
          <w:szCs w:val="24"/>
        </w:rPr>
        <w:t xml:space="preserve"> Budget </w:t>
      </w:r>
    </w:p>
    <w:sectPr w:rsidR="006150DC" w:rsidRPr="00EF5EC7" w:rsidSect="00D74A8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17EB" w:rsidRDefault="00F117EB" w:rsidP="00611BF7">
      <w:pPr>
        <w:spacing w:after="0" w:line="240" w:lineRule="auto"/>
      </w:pPr>
      <w:r>
        <w:separator/>
      </w:r>
    </w:p>
  </w:endnote>
  <w:endnote w:type="continuationSeparator" w:id="0">
    <w:p w:rsidR="00F117EB" w:rsidRDefault="00F117EB" w:rsidP="00611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48DD" w:rsidRDefault="00AB48DD" w:rsidP="00F41687">
    <w:pPr>
      <w:pStyle w:val="Footer"/>
      <w:pBdr>
        <w:top w:val="thinThickSmallGap" w:sz="24" w:space="1" w:color="622423" w:themeColor="accent2" w:themeShade="7F"/>
      </w:pBdr>
      <w:tabs>
        <w:tab w:val="left" w:pos="3510"/>
      </w:tabs>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A6739F" w:rsidRPr="00A6739F">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rsidR="00AB48DD" w:rsidRDefault="00AB4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48DD" w:rsidRDefault="00AB48DD" w:rsidP="00B37408">
    <w:pPr>
      <w:pStyle w:val="Footer"/>
      <w:tabs>
        <w:tab w:val="left" w:pos="3510"/>
      </w:tabs>
      <w:rPr>
        <w:rFonts w:asciiTheme="majorHAnsi" w:eastAsiaTheme="majorEastAsia" w:hAnsiTheme="majorHAnsi" w:cstheme="majorBidi"/>
      </w:rPr>
    </w:pPr>
  </w:p>
  <w:p w:rsidR="00AB48DD" w:rsidRDefault="00AB48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48DD" w:rsidRDefault="00AB4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17EB" w:rsidRDefault="00F117EB" w:rsidP="00611BF7">
      <w:pPr>
        <w:spacing w:after="0" w:line="240" w:lineRule="auto"/>
      </w:pPr>
      <w:r>
        <w:separator/>
      </w:r>
    </w:p>
  </w:footnote>
  <w:footnote w:type="continuationSeparator" w:id="0">
    <w:p w:rsidR="00F117EB" w:rsidRDefault="00F117EB" w:rsidP="00611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48DD" w:rsidRPr="00542F2B" w:rsidRDefault="00AB48DD" w:rsidP="00542F2B">
    <w:pPr>
      <w:pStyle w:val="Header"/>
      <w:jc w:val="right"/>
      <w:rPr>
        <w:i/>
        <w:color w:val="00B05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48DD" w:rsidRPr="00D17A8C" w:rsidRDefault="00AB48DD" w:rsidP="00D17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552"/>
    <w:multiLevelType w:val="hybridMultilevel"/>
    <w:tmpl w:val="FE8A940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926F4"/>
    <w:multiLevelType w:val="hybridMultilevel"/>
    <w:tmpl w:val="FF5E475C"/>
    <w:lvl w:ilvl="0" w:tplc="86947A58">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795BE"/>
    <w:multiLevelType w:val="singleLevel"/>
    <w:tmpl w:val="E4BCBA6A"/>
    <w:lvl w:ilvl="0">
      <w:start w:val="1"/>
      <w:numFmt w:val="lowerRoman"/>
      <w:lvlText w:val="%1."/>
      <w:lvlJc w:val="left"/>
      <w:pPr>
        <w:tabs>
          <w:tab w:val="num" w:pos="648"/>
        </w:tabs>
        <w:ind w:left="648" w:hanging="504"/>
      </w:pPr>
      <w:rPr>
        <w:b w:val="0"/>
        <w:bCs/>
        <w:snapToGrid/>
        <w:sz w:val="23"/>
        <w:szCs w:val="23"/>
      </w:rPr>
    </w:lvl>
  </w:abstractNum>
  <w:abstractNum w:abstractNumId="3" w15:restartNumberingAfterBreak="0">
    <w:nsid w:val="09AB0BE1"/>
    <w:multiLevelType w:val="hybridMultilevel"/>
    <w:tmpl w:val="DECC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03C0F"/>
    <w:multiLevelType w:val="hybridMultilevel"/>
    <w:tmpl w:val="9AECDB6E"/>
    <w:lvl w:ilvl="0" w:tplc="60EA70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61B28"/>
    <w:multiLevelType w:val="hybridMultilevel"/>
    <w:tmpl w:val="1406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36B64"/>
    <w:multiLevelType w:val="hybridMultilevel"/>
    <w:tmpl w:val="3C6C82C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115107A0"/>
    <w:multiLevelType w:val="hybridMultilevel"/>
    <w:tmpl w:val="5036A9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A6035"/>
    <w:multiLevelType w:val="hybridMultilevel"/>
    <w:tmpl w:val="A0A2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406BB"/>
    <w:multiLevelType w:val="hybridMultilevel"/>
    <w:tmpl w:val="C5E45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E05AC"/>
    <w:multiLevelType w:val="hybridMultilevel"/>
    <w:tmpl w:val="9648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80137"/>
    <w:multiLevelType w:val="hybridMultilevel"/>
    <w:tmpl w:val="78E43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306915"/>
    <w:multiLevelType w:val="hybridMultilevel"/>
    <w:tmpl w:val="2862B6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B0E67"/>
    <w:multiLevelType w:val="hybridMultilevel"/>
    <w:tmpl w:val="6C2E7B2E"/>
    <w:lvl w:ilvl="0" w:tplc="04090019">
      <w:start w:val="1"/>
      <w:numFmt w:val="lowerLetter"/>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4" w15:restartNumberingAfterBreak="0">
    <w:nsid w:val="328C65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2C536E"/>
    <w:multiLevelType w:val="hybridMultilevel"/>
    <w:tmpl w:val="960A824C"/>
    <w:lvl w:ilvl="0" w:tplc="91586A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352D42"/>
    <w:multiLevelType w:val="hybridMultilevel"/>
    <w:tmpl w:val="DA58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05689"/>
    <w:multiLevelType w:val="hybridMultilevel"/>
    <w:tmpl w:val="C0D4FD1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15:restartNumberingAfterBreak="0">
    <w:nsid w:val="39F775CB"/>
    <w:multiLevelType w:val="hybridMultilevel"/>
    <w:tmpl w:val="9C8A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211DD"/>
    <w:multiLevelType w:val="hybridMultilevel"/>
    <w:tmpl w:val="733A180C"/>
    <w:lvl w:ilvl="0" w:tplc="5E6E0D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BB01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2B408D"/>
    <w:multiLevelType w:val="hybridMultilevel"/>
    <w:tmpl w:val="509A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6903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D51053"/>
    <w:multiLevelType w:val="hybridMultilevel"/>
    <w:tmpl w:val="CE4E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80763"/>
    <w:multiLevelType w:val="hybridMultilevel"/>
    <w:tmpl w:val="316C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F046E4"/>
    <w:multiLevelType w:val="hybridMultilevel"/>
    <w:tmpl w:val="96CC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6E3112"/>
    <w:multiLevelType w:val="hybridMultilevel"/>
    <w:tmpl w:val="8248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246C2"/>
    <w:multiLevelType w:val="hybridMultilevel"/>
    <w:tmpl w:val="78BADB52"/>
    <w:lvl w:ilvl="0" w:tplc="91586A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923E8"/>
    <w:multiLevelType w:val="hybridMultilevel"/>
    <w:tmpl w:val="84B2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6D0B39"/>
    <w:multiLevelType w:val="hybridMultilevel"/>
    <w:tmpl w:val="52783E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FA306C"/>
    <w:multiLevelType w:val="hybridMultilevel"/>
    <w:tmpl w:val="E9E817C4"/>
    <w:lvl w:ilvl="0" w:tplc="91586A6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6C28AB"/>
    <w:multiLevelType w:val="hybridMultilevel"/>
    <w:tmpl w:val="D7463A00"/>
    <w:lvl w:ilvl="0" w:tplc="91586A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0949DE"/>
    <w:multiLevelType w:val="hybridMultilevel"/>
    <w:tmpl w:val="25940BD8"/>
    <w:lvl w:ilvl="0" w:tplc="91586A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FC1EB3"/>
    <w:multiLevelType w:val="hybridMultilevel"/>
    <w:tmpl w:val="1B5CF6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F55A38"/>
    <w:multiLevelType w:val="multilevel"/>
    <w:tmpl w:val="B94073D8"/>
    <w:lvl w:ilvl="0">
      <w:start w:val="1"/>
      <w:numFmt w:val="decimal"/>
      <w:lvlText w:val="%1"/>
      <w:lvlJc w:val="left"/>
      <w:pPr>
        <w:ind w:left="360" w:hanging="360"/>
      </w:pPr>
      <w:rPr>
        <w:rFonts w:hint="default"/>
      </w:rPr>
    </w:lvl>
    <w:lvl w:ilvl="1">
      <w:start w:val="1"/>
      <w:numFmt w:val="decimal"/>
      <w:pStyle w:val="Style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B3530BB"/>
    <w:multiLevelType w:val="hybridMultilevel"/>
    <w:tmpl w:val="0A5CA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733B25"/>
    <w:multiLevelType w:val="hybridMultilevel"/>
    <w:tmpl w:val="6230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B16456"/>
    <w:multiLevelType w:val="hybridMultilevel"/>
    <w:tmpl w:val="E4902862"/>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8" w15:restartNumberingAfterBreak="0">
    <w:nsid w:val="6FE85ABD"/>
    <w:multiLevelType w:val="hybridMultilevel"/>
    <w:tmpl w:val="898A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617957"/>
    <w:multiLevelType w:val="hybridMultilevel"/>
    <w:tmpl w:val="A30E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F3128"/>
    <w:multiLevelType w:val="hybridMultilevel"/>
    <w:tmpl w:val="2DC68792"/>
    <w:lvl w:ilvl="0" w:tplc="A58806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CB40E4"/>
    <w:multiLevelType w:val="hybridMultilevel"/>
    <w:tmpl w:val="6EC4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5F56E4"/>
    <w:multiLevelType w:val="hybridMultilevel"/>
    <w:tmpl w:val="28B63A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A33FC8"/>
    <w:multiLevelType w:val="hybridMultilevel"/>
    <w:tmpl w:val="2DC68792"/>
    <w:lvl w:ilvl="0" w:tplc="A58806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4D219C"/>
    <w:multiLevelType w:val="hybridMultilevel"/>
    <w:tmpl w:val="367C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8655420">
    <w:abstractNumId w:val="0"/>
  </w:num>
  <w:num w:numId="2" w16cid:durableId="1368212991">
    <w:abstractNumId w:val="29"/>
  </w:num>
  <w:num w:numId="3" w16cid:durableId="188685875">
    <w:abstractNumId w:val="42"/>
  </w:num>
  <w:num w:numId="4" w16cid:durableId="1431702127">
    <w:abstractNumId w:val="4"/>
  </w:num>
  <w:num w:numId="5" w16cid:durableId="338970372">
    <w:abstractNumId w:val="19"/>
  </w:num>
  <w:num w:numId="6" w16cid:durableId="2132824181">
    <w:abstractNumId w:val="40"/>
  </w:num>
  <w:num w:numId="7" w16cid:durableId="925966335">
    <w:abstractNumId w:val="43"/>
  </w:num>
  <w:num w:numId="8" w16cid:durableId="2096508664">
    <w:abstractNumId w:val="37"/>
  </w:num>
  <w:num w:numId="9" w16cid:durableId="624771929">
    <w:abstractNumId w:val="21"/>
  </w:num>
  <w:num w:numId="10" w16cid:durableId="1730809825">
    <w:abstractNumId w:val="28"/>
  </w:num>
  <w:num w:numId="11" w16cid:durableId="1201282951">
    <w:abstractNumId w:val="10"/>
  </w:num>
  <w:num w:numId="12" w16cid:durableId="1046372269">
    <w:abstractNumId w:val="38"/>
  </w:num>
  <w:num w:numId="13" w16cid:durableId="1026099704">
    <w:abstractNumId w:val="44"/>
  </w:num>
  <w:num w:numId="14" w16cid:durableId="1641687656">
    <w:abstractNumId w:val="18"/>
  </w:num>
  <w:num w:numId="15" w16cid:durableId="162401861">
    <w:abstractNumId w:val="25"/>
  </w:num>
  <w:num w:numId="16" w16cid:durableId="2087145835">
    <w:abstractNumId w:val="7"/>
  </w:num>
  <w:num w:numId="17" w16cid:durableId="780297446">
    <w:abstractNumId w:val="3"/>
  </w:num>
  <w:num w:numId="18" w16cid:durableId="1989749711">
    <w:abstractNumId w:val="33"/>
  </w:num>
  <w:num w:numId="19" w16cid:durableId="1467426868">
    <w:abstractNumId w:val="24"/>
  </w:num>
  <w:num w:numId="20" w16cid:durableId="1327444058">
    <w:abstractNumId w:val="1"/>
  </w:num>
  <w:num w:numId="21" w16cid:durableId="346055998">
    <w:abstractNumId w:val="17"/>
  </w:num>
  <w:num w:numId="22" w16cid:durableId="1898857977">
    <w:abstractNumId w:val="23"/>
  </w:num>
  <w:num w:numId="23" w16cid:durableId="245194787">
    <w:abstractNumId w:val="30"/>
  </w:num>
  <w:num w:numId="24" w16cid:durableId="1329752769">
    <w:abstractNumId w:val="32"/>
  </w:num>
  <w:num w:numId="25" w16cid:durableId="1434977558">
    <w:abstractNumId w:val="27"/>
  </w:num>
  <w:num w:numId="26" w16cid:durableId="1828279325">
    <w:abstractNumId w:val="15"/>
  </w:num>
  <w:num w:numId="27" w16cid:durableId="1978684122">
    <w:abstractNumId w:val="31"/>
  </w:num>
  <w:num w:numId="28" w16cid:durableId="1666857656">
    <w:abstractNumId w:val="8"/>
  </w:num>
  <w:num w:numId="29" w16cid:durableId="104078895">
    <w:abstractNumId w:val="11"/>
  </w:num>
  <w:num w:numId="30" w16cid:durableId="932013738">
    <w:abstractNumId w:val="35"/>
  </w:num>
  <w:num w:numId="31" w16cid:durableId="1965500147">
    <w:abstractNumId w:val="6"/>
  </w:num>
  <w:num w:numId="32" w16cid:durableId="1362197458">
    <w:abstractNumId w:val="26"/>
  </w:num>
  <w:num w:numId="33" w16cid:durableId="1468818932">
    <w:abstractNumId w:val="41"/>
  </w:num>
  <w:num w:numId="34" w16cid:durableId="2000232268">
    <w:abstractNumId w:val="9"/>
  </w:num>
  <w:num w:numId="35" w16cid:durableId="433401254">
    <w:abstractNumId w:val="14"/>
  </w:num>
  <w:num w:numId="36" w16cid:durableId="395209050">
    <w:abstractNumId w:val="34"/>
  </w:num>
  <w:num w:numId="37" w16cid:durableId="1741172279">
    <w:abstractNumId w:val="2"/>
  </w:num>
  <w:num w:numId="38" w16cid:durableId="251277084">
    <w:abstractNumId w:val="36"/>
  </w:num>
  <w:num w:numId="39" w16cid:durableId="936138869">
    <w:abstractNumId w:val="5"/>
  </w:num>
  <w:num w:numId="40" w16cid:durableId="814757057">
    <w:abstractNumId w:val="16"/>
  </w:num>
  <w:num w:numId="41" w16cid:durableId="1141851987">
    <w:abstractNumId w:val="39"/>
  </w:num>
  <w:num w:numId="42" w16cid:durableId="2074233322">
    <w:abstractNumId w:val="13"/>
  </w:num>
  <w:num w:numId="43" w16cid:durableId="773524128">
    <w:abstractNumId w:val="12"/>
  </w:num>
  <w:num w:numId="44" w16cid:durableId="1033765938">
    <w:abstractNumId w:val="20"/>
  </w:num>
  <w:num w:numId="45" w16cid:durableId="269436769">
    <w:abstractNumId w:val="22"/>
  </w:num>
  <w:num w:numId="46" w16cid:durableId="1242255726">
    <w:abstractNumId w:val="34"/>
  </w:num>
  <w:num w:numId="47" w16cid:durableId="490370197">
    <w:abstractNumId w:val="34"/>
  </w:num>
  <w:num w:numId="48" w16cid:durableId="1913588005">
    <w:abstractNumId w:val="34"/>
  </w:num>
  <w:num w:numId="49" w16cid:durableId="114897928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44C"/>
    <w:rsid w:val="00005E88"/>
    <w:rsid w:val="00006A3B"/>
    <w:rsid w:val="000107BF"/>
    <w:rsid w:val="000178C6"/>
    <w:rsid w:val="000201D9"/>
    <w:rsid w:val="00021E1A"/>
    <w:rsid w:val="00024664"/>
    <w:rsid w:val="00024CB6"/>
    <w:rsid w:val="00024DF3"/>
    <w:rsid w:val="0002645A"/>
    <w:rsid w:val="000356B9"/>
    <w:rsid w:val="000415E4"/>
    <w:rsid w:val="000445D4"/>
    <w:rsid w:val="00044D85"/>
    <w:rsid w:val="000457FC"/>
    <w:rsid w:val="00047254"/>
    <w:rsid w:val="00053808"/>
    <w:rsid w:val="000538E2"/>
    <w:rsid w:val="00061CFC"/>
    <w:rsid w:val="000622C7"/>
    <w:rsid w:val="00067499"/>
    <w:rsid w:val="00071E1E"/>
    <w:rsid w:val="00076DA0"/>
    <w:rsid w:val="000830B4"/>
    <w:rsid w:val="00084CB4"/>
    <w:rsid w:val="00086364"/>
    <w:rsid w:val="00090650"/>
    <w:rsid w:val="00096AA1"/>
    <w:rsid w:val="000A1DD0"/>
    <w:rsid w:val="000A41BA"/>
    <w:rsid w:val="000B4734"/>
    <w:rsid w:val="000B5EA4"/>
    <w:rsid w:val="000C40F1"/>
    <w:rsid w:val="000C7284"/>
    <w:rsid w:val="000D3DE7"/>
    <w:rsid w:val="000D6D02"/>
    <w:rsid w:val="000E14F8"/>
    <w:rsid w:val="000E1998"/>
    <w:rsid w:val="000E215E"/>
    <w:rsid w:val="000E4F35"/>
    <w:rsid w:val="000E7DCB"/>
    <w:rsid w:val="000F19A9"/>
    <w:rsid w:val="000F285D"/>
    <w:rsid w:val="000F4156"/>
    <w:rsid w:val="000F51F8"/>
    <w:rsid w:val="000F59A7"/>
    <w:rsid w:val="00100D6D"/>
    <w:rsid w:val="00107EF5"/>
    <w:rsid w:val="00111A33"/>
    <w:rsid w:val="001154EB"/>
    <w:rsid w:val="0012413C"/>
    <w:rsid w:val="001264FB"/>
    <w:rsid w:val="00136DDC"/>
    <w:rsid w:val="00141292"/>
    <w:rsid w:val="0014245A"/>
    <w:rsid w:val="00143D13"/>
    <w:rsid w:val="0014535E"/>
    <w:rsid w:val="00147AF2"/>
    <w:rsid w:val="00152C8F"/>
    <w:rsid w:val="0015453E"/>
    <w:rsid w:val="001547A4"/>
    <w:rsid w:val="00160371"/>
    <w:rsid w:val="001708B0"/>
    <w:rsid w:val="00176595"/>
    <w:rsid w:val="0017711E"/>
    <w:rsid w:val="0018285F"/>
    <w:rsid w:val="00185224"/>
    <w:rsid w:val="00187507"/>
    <w:rsid w:val="00192E4D"/>
    <w:rsid w:val="001943E7"/>
    <w:rsid w:val="00194947"/>
    <w:rsid w:val="00196627"/>
    <w:rsid w:val="0019706B"/>
    <w:rsid w:val="0019777B"/>
    <w:rsid w:val="00197ED3"/>
    <w:rsid w:val="001A29CC"/>
    <w:rsid w:val="001A4001"/>
    <w:rsid w:val="001A6F3C"/>
    <w:rsid w:val="001B28A2"/>
    <w:rsid w:val="001C0F6E"/>
    <w:rsid w:val="001C48C3"/>
    <w:rsid w:val="001D3100"/>
    <w:rsid w:val="001D6178"/>
    <w:rsid w:val="001E1385"/>
    <w:rsid w:val="001E1D3E"/>
    <w:rsid w:val="001E2C93"/>
    <w:rsid w:val="001E3BCB"/>
    <w:rsid w:val="001E7212"/>
    <w:rsid w:val="001F1D4C"/>
    <w:rsid w:val="002012EB"/>
    <w:rsid w:val="00202B58"/>
    <w:rsid w:val="00207B9D"/>
    <w:rsid w:val="002154D6"/>
    <w:rsid w:val="00216D7A"/>
    <w:rsid w:val="00217A58"/>
    <w:rsid w:val="00220C82"/>
    <w:rsid w:val="0022337B"/>
    <w:rsid w:val="00223805"/>
    <w:rsid w:val="00224AA4"/>
    <w:rsid w:val="002253AD"/>
    <w:rsid w:val="00226861"/>
    <w:rsid w:val="002344EA"/>
    <w:rsid w:val="002414AA"/>
    <w:rsid w:val="0024156C"/>
    <w:rsid w:val="00250549"/>
    <w:rsid w:val="00254DA9"/>
    <w:rsid w:val="00255723"/>
    <w:rsid w:val="00262284"/>
    <w:rsid w:val="00263B05"/>
    <w:rsid w:val="00265810"/>
    <w:rsid w:val="00266A2C"/>
    <w:rsid w:val="00271F9B"/>
    <w:rsid w:val="002833D0"/>
    <w:rsid w:val="00286683"/>
    <w:rsid w:val="002A579B"/>
    <w:rsid w:val="002A6235"/>
    <w:rsid w:val="002B0254"/>
    <w:rsid w:val="002B5D1B"/>
    <w:rsid w:val="002C0AAE"/>
    <w:rsid w:val="002C1A3A"/>
    <w:rsid w:val="002C4742"/>
    <w:rsid w:val="002C4901"/>
    <w:rsid w:val="002C5003"/>
    <w:rsid w:val="002D0475"/>
    <w:rsid w:val="002D0690"/>
    <w:rsid w:val="002D45FC"/>
    <w:rsid w:val="002E1BDA"/>
    <w:rsid w:val="002E1CE5"/>
    <w:rsid w:val="002F21FB"/>
    <w:rsid w:val="002F2D7E"/>
    <w:rsid w:val="002F5A68"/>
    <w:rsid w:val="00301B9F"/>
    <w:rsid w:val="0030286D"/>
    <w:rsid w:val="00303433"/>
    <w:rsid w:val="00315D5C"/>
    <w:rsid w:val="00321038"/>
    <w:rsid w:val="00321C23"/>
    <w:rsid w:val="00323FFA"/>
    <w:rsid w:val="00330BE8"/>
    <w:rsid w:val="00330BFE"/>
    <w:rsid w:val="0033403D"/>
    <w:rsid w:val="00341800"/>
    <w:rsid w:val="00342540"/>
    <w:rsid w:val="0034609F"/>
    <w:rsid w:val="00347711"/>
    <w:rsid w:val="00354017"/>
    <w:rsid w:val="0035570A"/>
    <w:rsid w:val="003614AC"/>
    <w:rsid w:val="00361D79"/>
    <w:rsid w:val="00363AA3"/>
    <w:rsid w:val="003649BA"/>
    <w:rsid w:val="00366B12"/>
    <w:rsid w:val="00366E60"/>
    <w:rsid w:val="003676A4"/>
    <w:rsid w:val="00381E31"/>
    <w:rsid w:val="00386D31"/>
    <w:rsid w:val="00390B69"/>
    <w:rsid w:val="00395FB8"/>
    <w:rsid w:val="003A320D"/>
    <w:rsid w:val="003A6822"/>
    <w:rsid w:val="003A7942"/>
    <w:rsid w:val="003B407E"/>
    <w:rsid w:val="003B5F01"/>
    <w:rsid w:val="003B7F22"/>
    <w:rsid w:val="003C2C26"/>
    <w:rsid w:val="003D1B99"/>
    <w:rsid w:val="003D47D8"/>
    <w:rsid w:val="003D52C2"/>
    <w:rsid w:val="003D63F2"/>
    <w:rsid w:val="003E0CB6"/>
    <w:rsid w:val="003E26D2"/>
    <w:rsid w:val="003E5D87"/>
    <w:rsid w:val="003E7486"/>
    <w:rsid w:val="003F099E"/>
    <w:rsid w:val="003F0CF9"/>
    <w:rsid w:val="003F2993"/>
    <w:rsid w:val="003F2F5B"/>
    <w:rsid w:val="003F6AFF"/>
    <w:rsid w:val="00400C7F"/>
    <w:rsid w:val="00401B7E"/>
    <w:rsid w:val="00402A62"/>
    <w:rsid w:val="004041C1"/>
    <w:rsid w:val="004050E6"/>
    <w:rsid w:val="00406A40"/>
    <w:rsid w:val="00407173"/>
    <w:rsid w:val="00410015"/>
    <w:rsid w:val="00410142"/>
    <w:rsid w:val="004116B0"/>
    <w:rsid w:val="00411C00"/>
    <w:rsid w:val="0041237E"/>
    <w:rsid w:val="004148A4"/>
    <w:rsid w:val="00414BD8"/>
    <w:rsid w:val="00414D98"/>
    <w:rsid w:val="00420A47"/>
    <w:rsid w:val="004235F0"/>
    <w:rsid w:val="004251D7"/>
    <w:rsid w:val="00426918"/>
    <w:rsid w:val="00436B8C"/>
    <w:rsid w:val="004370D7"/>
    <w:rsid w:val="004402D0"/>
    <w:rsid w:val="004432BA"/>
    <w:rsid w:val="00447BB6"/>
    <w:rsid w:val="004542D7"/>
    <w:rsid w:val="0045458E"/>
    <w:rsid w:val="00460D8A"/>
    <w:rsid w:val="00461780"/>
    <w:rsid w:val="00461C69"/>
    <w:rsid w:val="0046273A"/>
    <w:rsid w:val="00463818"/>
    <w:rsid w:val="00465035"/>
    <w:rsid w:val="00472E28"/>
    <w:rsid w:val="00473260"/>
    <w:rsid w:val="00474D8D"/>
    <w:rsid w:val="004832F0"/>
    <w:rsid w:val="00491595"/>
    <w:rsid w:val="00493F5D"/>
    <w:rsid w:val="00496011"/>
    <w:rsid w:val="00496EBF"/>
    <w:rsid w:val="004A0621"/>
    <w:rsid w:val="004A1DC1"/>
    <w:rsid w:val="004A5018"/>
    <w:rsid w:val="004A6170"/>
    <w:rsid w:val="004B13B4"/>
    <w:rsid w:val="004B26A1"/>
    <w:rsid w:val="004B691A"/>
    <w:rsid w:val="004C3D3B"/>
    <w:rsid w:val="004D03C1"/>
    <w:rsid w:val="004D1286"/>
    <w:rsid w:val="004D3ED2"/>
    <w:rsid w:val="004D43A3"/>
    <w:rsid w:val="004E145F"/>
    <w:rsid w:val="004E2627"/>
    <w:rsid w:val="004E264B"/>
    <w:rsid w:val="004E2AEB"/>
    <w:rsid w:val="004E2FA5"/>
    <w:rsid w:val="004E7994"/>
    <w:rsid w:val="004F4A3C"/>
    <w:rsid w:val="004F53EC"/>
    <w:rsid w:val="004F67BE"/>
    <w:rsid w:val="00500A6E"/>
    <w:rsid w:val="00502E8B"/>
    <w:rsid w:val="005072A5"/>
    <w:rsid w:val="005301E4"/>
    <w:rsid w:val="0053391B"/>
    <w:rsid w:val="005348E9"/>
    <w:rsid w:val="00542DE0"/>
    <w:rsid w:val="00542F2B"/>
    <w:rsid w:val="00545BD4"/>
    <w:rsid w:val="0055177B"/>
    <w:rsid w:val="00551B78"/>
    <w:rsid w:val="00552AA1"/>
    <w:rsid w:val="00560A28"/>
    <w:rsid w:val="00572767"/>
    <w:rsid w:val="005761C7"/>
    <w:rsid w:val="0058663A"/>
    <w:rsid w:val="00586B24"/>
    <w:rsid w:val="00596FBF"/>
    <w:rsid w:val="0059751C"/>
    <w:rsid w:val="005A04EB"/>
    <w:rsid w:val="005A2812"/>
    <w:rsid w:val="005A2AA3"/>
    <w:rsid w:val="005A69FB"/>
    <w:rsid w:val="005A747F"/>
    <w:rsid w:val="005B0589"/>
    <w:rsid w:val="005B0717"/>
    <w:rsid w:val="005B4060"/>
    <w:rsid w:val="005B463D"/>
    <w:rsid w:val="005B46FA"/>
    <w:rsid w:val="005B53EA"/>
    <w:rsid w:val="005C4582"/>
    <w:rsid w:val="005C689C"/>
    <w:rsid w:val="005D0E2A"/>
    <w:rsid w:val="005D18F8"/>
    <w:rsid w:val="005D2843"/>
    <w:rsid w:val="005D3662"/>
    <w:rsid w:val="005D462E"/>
    <w:rsid w:val="005D5CCF"/>
    <w:rsid w:val="005E05AF"/>
    <w:rsid w:val="005E29D0"/>
    <w:rsid w:val="005E2AC6"/>
    <w:rsid w:val="005F04BA"/>
    <w:rsid w:val="005F06AB"/>
    <w:rsid w:val="005F4579"/>
    <w:rsid w:val="006006A7"/>
    <w:rsid w:val="006015FF"/>
    <w:rsid w:val="006021F9"/>
    <w:rsid w:val="006068A2"/>
    <w:rsid w:val="00606F55"/>
    <w:rsid w:val="00607668"/>
    <w:rsid w:val="006113D6"/>
    <w:rsid w:val="00611BF7"/>
    <w:rsid w:val="00613FDE"/>
    <w:rsid w:val="006150DC"/>
    <w:rsid w:val="00616222"/>
    <w:rsid w:val="00631583"/>
    <w:rsid w:val="00634E96"/>
    <w:rsid w:val="00643211"/>
    <w:rsid w:val="0064356B"/>
    <w:rsid w:val="0065109E"/>
    <w:rsid w:val="00651B2C"/>
    <w:rsid w:val="0066074D"/>
    <w:rsid w:val="00661EB4"/>
    <w:rsid w:val="006622C4"/>
    <w:rsid w:val="0066269A"/>
    <w:rsid w:val="0066630B"/>
    <w:rsid w:val="006673AD"/>
    <w:rsid w:val="006728F7"/>
    <w:rsid w:val="00673521"/>
    <w:rsid w:val="00677172"/>
    <w:rsid w:val="00681320"/>
    <w:rsid w:val="00683F2E"/>
    <w:rsid w:val="0068727A"/>
    <w:rsid w:val="00694481"/>
    <w:rsid w:val="00694CF4"/>
    <w:rsid w:val="00694F6D"/>
    <w:rsid w:val="0069635F"/>
    <w:rsid w:val="0069674C"/>
    <w:rsid w:val="00697969"/>
    <w:rsid w:val="006A1AA4"/>
    <w:rsid w:val="006A24FA"/>
    <w:rsid w:val="006A2F6A"/>
    <w:rsid w:val="006B6545"/>
    <w:rsid w:val="006B6FB0"/>
    <w:rsid w:val="006C027D"/>
    <w:rsid w:val="006C22E0"/>
    <w:rsid w:val="006C3924"/>
    <w:rsid w:val="006C4673"/>
    <w:rsid w:val="006C55AE"/>
    <w:rsid w:val="006C55DB"/>
    <w:rsid w:val="006D3C9D"/>
    <w:rsid w:val="006D3CEA"/>
    <w:rsid w:val="006D7C8A"/>
    <w:rsid w:val="006E49CD"/>
    <w:rsid w:val="006F1EAC"/>
    <w:rsid w:val="006F7B84"/>
    <w:rsid w:val="007004A4"/>
    <w:rsid w:val="00700B59"/>
    <w:rsid w:val="007032C4"/>
    <w:rsid w:val="00705041"/>
    <w:rsid w:val="007136D6"/>
    <w:rsid w:val="00715D13"/>
    <w:rsid w:val="00722289"/>
    <w:rsid w:val="00733633"/>
    <w:rsid w:val="00741C91"/>
    <w:rsid w:val="00742CB4"/>
    <w:rsid w:val="00761FA5"/>
    <w:rsid w:val="007709A0"/>
    <w:rsid w:val="00771250"/>
    <w:rsid w:val="0077246F"/>
    <w:rsid w:val="00772F02"/>
    <w:rsid w:val="007766BA"/>
    <w:rsid w:val="007807DC"/>
    <w:rsid w:val="0078253A"/>
    <w:rsid w:val="00782B94"/>
    <w:rsid w:val="00782CBC"/>
    <w:rsid w:val="00782E8E"/>
    <w:rsid w:val="00782FCE"/>
    <w:rsid w:val="0078684C"/>
    <w:rsid w:val="007876CE"/>
    <w:rsid w:val="007951B5"/>
    <w:rsid w:val="007A034B"/>
    <w:rsid w:val="007A143E"/>
    <w:rsid w:val="007A4810"/>
    <w:rsid w:val="007A4AD3"/>
    <w:rsid w:val="007A4FEC"/>
    <w:rsid w:val="007B67AD"/>
    <w:rsid w:val="007B7D67"/>
    <w:rsid w:val="007C3B79"/>
    <w:rsid w:val="007C615F"/>
    <w:rsid w:val="007D0530"/>
    <w:rsid w:val="007D7FAA"/>
    <w:rsid w:val="007E2B88"/>
    <w:rsid w:val="007E5E09"/>
    <w:rsid w:val="007E62AB"/>
    <w:rsid w:val="007E6DCE"/>
    <w:rsid w:val="007F0201"/>
    <w:rsid w:val="007F297D"/>
    <w:rsid w:val="007F71D2"/>
    <w:rsid w:val="00800FF0"/>
    <w:rsid w:val="008108BA"/>
    <w:rsid w:val="00817FD1"/>
    <w:rsid w:val="00824C15"/>
    <w:rsid w:val="00825C00"/>
    <w:rsid w:val="008350FE"/>
    <w:rsid w:val="00850B4C"/>
    <w:rsid w:val="00857BB4"/>
    <w:rsid w:val="00862D1E"/>
    <w:rsid w:val="00863FC7"/>
    <w:rsid w:val="00865E23"/>
    <w:rsid w:val="00866A92"/>
    <w:rsid w:val="00870598"/>
    <w:rsid w:val="008707D0"/>
    <w:rsid w:val="008710A8"/>
    <w:rsid w:val="00872593"/>
    <w:rsid w:val="00876D27"/>
    <w:rsid w:val="0088189F"/>
    <w:rsid w:val="0088282B"/>
    <w:rsid w:val="008879EF"/>
    <w:rsid w:val="0089196B"/>
    <w:rsid w:val="008923FE"/>
    <w:rsid w:val="008930AE"/>
    <w:rsid w:val="008A168A"/>
    <w:rsid w:val="008A2303"/>
    <w:rsid w:val="008A5A5C"/>
    <w:rsid w:val="008B0E2B"/>
    <w:rsid w:val="008B4842"/>
    <w:rsid w:val="008C21CE"/>
    <w:rsid w:val="008C4F83"/>
    <w:rsid w:val="008C52EF"/>
    <w:rsid w:val="008C686A"/>
    <w:rsid w:val="008E119E"/>
    <w:rsid w:val="008E3C09"/>
    <w:rsid w:val="008E58C0"/>
    <w:rsid w:val="008E75D1"/>
    <w:rsid w:val="008E7C2E"/>
    <w:rsid w:val="008F33CD"/>
    <w:rsid w:val="00901992"/>
    <w:rsid w:val="00904F2F"/>
    <w:rsid w:val="0090583E"/>
    <w:rsid w:val="00911C5B"/>
    <w:rsid w:val="00914D00"/>
    <w:rsid w:val="00915C81"/>
    <w:rsid w:val="00920BA7"/>
    <w:rsid w:val="00920ED7"/>
    <w:rsid w:val="00921510"/>
    <w:rsid w:val="00922443"/>
    <w:rsid w:val="00922635"/>
    <w:rsid w:val="00924490"/>
    <w:rsid w:val="00926DAE"/>
    <w:rsid w:val="0092767E"/>
    <w:rsid w:val="009312CA"/>
    <w:rsid w:val="00944CA4"/>
    <w:rsid w:val="00946CE9"/>
    <w:rsid w:val="00946F51"/>
    <w:rsid w:val="00947375"/>
    <w:rsid w:val="00950E58"/>
    <w:rsid w:val="009617DD"/>
    <w:rsid w:val="00962752"/>
    <w:rsid w:val="00962989"/>
    <w:rsid w:val="0096562F"/>
    <w:rsid w:val="00966C5F"/>
    <w:rsid w:val="00971458"/>
    <w:rsid w:val="0097516D"/>
    <w:rsid w:val="00980F0E"/>
    <w:rsid w:val="0098137B"/>
    <w:rsid w:val="009858D3"/>
    <w:rsid w:val="00987066"/>
    <w:rsid w:val="0099145B"/>
    <w:rsid w:val="00992716"/>
    <w:rsid w:val="00992740"/>
    <w:rsid w:val="0099395D"/>
    <w:rsid w:val="009950FD"/>
    <w:rsid w:val="00995697"/>
    <w:rsid w:val="00995730"/>
    <w:rsid w:val="009970CF"/>
    <w:rsid w:val="009A5850"/>
    <w:rsid w:val="009A5C2A"/>
    <w:rsid w:val="009A78CD"/>
    <w:rsid w:val="009B1636"/>
    <w:rsid w:val="009B2867"/>
    <w:rsid w:val="009D76EA"/>
    <w:rsid w:val="009D7F07"/>
    <w:rsid w:val="009E3990"/>
    <w:rsid w:val="009E522B"/>
    <w:rsid w:val="009F3DE8"/>
    <w:rsid w:val="00A042AD"/>
    <w:rsid w:val="00A12D62"/>
    <w:rsid w:val="00A22B25"/>
    <w:rsid w:val="00A233BC"/>
    <w:rsid w:val="00A25B74"/>
    <w:rsid w:val="00A30BF9"/>
    <w:rsid w:val="00A33124"/>
    <w:rsid w:val="00A35480"/>
    <w:rsid w:val="00A364ED"/>
    <w:rsid w:val="00A45ADE"/>
    <w:rsid w:val="00A51B95"/>
    <w:rsid w:val="00A51CAB"/>
    <w:rsid w:val="00A62FAA"/>
    <w:rsid w:val="00A6739F"/>
    <w:rsid w:val="00A70267"/>
    <w:rsid w:val="00A70D48"/>
    <w:rsid w:val="00A70E20"/>
    <w:rsid w:val="00A7362F"/>
    <w:rsid w:val="00A74E38"/>
    <w:rsid w:val="00A77E4F"/>
    <w:rsid w:val="00A84177"/>
    <w:rsid w:val="00A8479C"/>
    <w:rsid w:val="00A878B9"/>
    <w:rsid w:val="00A91739"/>
    <w:rsid w:val="00A92148"/>
    <w:rsid w:val="00A952D2"/>
    <w:rsid w:val="00A95B3C"/>
    <w:rsid w:val="00A95BB0"/>
    <w:rsid w:val="00AA7B82"/>
    <w:rsid w:val="00AB262B"/>
    <w:rsid w:val="00AB2783"/>
    <w:rsid w:val="00AB48DD"/>
    <w:rsid w:val="00AB6F3F"/>
    <w:rsid w:val="00AC15D9"/>
    <w:rsid w:val="00AC1797"/>
    <w:rsid w:val="00AC60FF"/>
    <w:rsid w:val="00AC7B7B"/>
    <w:rsid w:val="00AC7F07"/>
    <w:rsid w:val="00AD2FA2"/>
    <w:rsid w:val="00AD5590"/>
    <w:rsid w:val="00AD60D5"/>
    <w:rsid w:val="00AE35CF"/>
    <w:rsid w:val="00AE4088"/>
    <w:rsid w:val="00AE794C"/>
    <w:rsid w:val="00AE7B15"/>
    <w:rsid w:val="00AF1320"/>
    <w:rsid w:val="00AF7081"/>
    <w:rsid w:val="00B0228A"/>
    <w:rsid w:val="00B0548E"/>
    <w:rsid w:val="00B05ED5"/>
    <w:rsid w:val="00B07778"/>
    <w:rsid w:val="00B105AB"/>
    <w:rsid w:val="00B12D95"/>
    <w:rsid w:val="00B12DD8"/>
    <w:rsid w:val="00B142B3"/>
    <w:rsid w:val="00B2259C"/>
    <w:rsid w:val="00B22808"/>
    <w:rsid w:val="00B2284D"/>
    <w:rsid w:val="00B23A9E"/>
    <w:rsid w:val="00B35D2B"/>
    <w:rsid w:val="00B37408"/>
    <w:rsid w:val="00B37833"/>
    <w:rsid w:val="00B40509"/>
    <w:rsid w:val="00B43460"/>
    <w:rsid w:val="00B44EF0"/>
    <w:rsid w:val="00B456A3"/>
    <w:rsid w:val="00B66977"/>
    <w:rsid w:val="00B675FC"/>
    <w:rsid w:val="00B7075C"/>
    <w:rsid w:val="00B711CD"/>
    <w:rsid w:val="00B71B7D"/>
    <w:rsid w:val="00B728EE"/>
    <w:rsid w:val="00B73DDB"/>
    <w:rsid w:val="00B761B1"/>
    <w:rsid w:val="00B819F1"/>
    <w:rsid w:val="00B82425"/>
    <w:rsid w:val="00B84987"/>
    <w:rsid w:val="00B85AF5"/>
    <w:rsid w:val="00B8662E"/>
    <w:rsid w:val="00B8706B"/>
    <w:rsid w:val="00B9180F"/>
    <w:rsid w:val="00B94627"/>
    <w:rsid w:val="00B95ADF"/>
    <w:rsid w:val="00B95BB4"/>
    <w:rsid w:val="00B97748"/>
    <w:rsid w:val="00B97CE9"/>
    <w:rsid w:val="00BA078D"/>
    <w:rsid w:val="00BA1486"/>
    <w:rsid w:val="00BA4D86"/>
    <w:rsid w:val="00BA7A3E"/>
    <w:rsid w:val="00BA7C98"/>
    <w:rsid w:val="00BB571A"/>
    <w:rsid w:val="00BB5B29"/>
    <w:rsid w:val="00BC1AE9"/>
    <w:rsid w:val="00BC4546"/>
    <w:rsid w:val="00BC785E"/>
    <w:rsid w:val="00BC7A57"/>
    <w:rsid w:val="00BC7BBC"/>
    <w:rsid w:val="00BD0022"/>
    <w:rsid w:val="00BD25F3"/>
    <w:rsid w:val="00BD41AC"/>
    <w:rsid w:val="00BD52A9"/>
    <w:rsid w:val="00BD5862"/>
    <w:rsid w:val="00BD66FE"/>
    <w:rsid w:val="00BD7267"/>
    <w:rsid w:val="00BD7A4F"/>
    <w:rsid w:val="00BE299D"/>
    <w:rsid w:val="00BE7759"/>
    <w:rsid w:val="00BE7E02"/>
    <w:rsid w:val="00BE7E0A"/>
    <w:rsid w:val="00BF1531"/>
    <w:rsid w:val="00BF5F88"/>
    <w:rsid w:val="00BF7875"/>
    <w:rsid w:val="00C052E0"/>
    <w:rsid w:val="00C06AAF"/>
    <w:rsid w:val="00C12251"/>
    <w:rsid w:val="00C12409"/>
    <w:rsid w:val="00C14B75"/>
    <w:rsid w:val="00C1589C"/>
    <w:rsid w:val="00C16A2A"/>
    <w:rsid w:val="00C25E6C"/>
    <w:rsid w:val="00C279B6"/>
    <w:rsid w:val="00C36829"/>
    <w:rsid w:val="00C37A99"/>
    <w:rsid w:val="00C37CDA"/>
    <w:rsid w:val="00C4418D"/>
    <w:rsid w:val="00C44205"/>
    <w:rsid w:val="00C543FF"/>
    <w:rsid w:val="00C60FD0"/>
    <w:rsid w:val="00C66D73"/>
    <w:rsid w:val="00C70907"/>
    <w:rsid w:val="00C7207A"/>
    <w:rsid w:val="00C72A7A"/>
    <w:rsid w:val="00C7595F"/>
    <w:rsid w:val="00C85B5D"/>
    <w:rsid w:val="00C900E4"/>
    <w:rsid w:val="00C90C54"/>
    <w:rsid w:val="00C93600"/>
    <w:rsid w:val="00C93E41"/>
    <w:rsid w:val="00CA0B9F"/>
    <w:rsid w:val="00CA166A"/>
    <w:rsid w:val="00CA4170"/>
    <w:rsid w:val="00CA72DE"/>
    <w:rsid w:val="00CB060C"/>
    <w:rsid w:val="00CB19CD"/>
    <w:rsid w:val="00CB2BCD"/>
    <w:rsid w:val="00CC7824"/>
    <w:rsid w:val="00CD0591"/>
    <w:rsid w:val="00CD12D5"/>
    <w:rsid w:val="00CD4171"/>
    <w:rsid w:val="00CE027C"/>
    <w:rsid w:val="00CE5575"/>
    <w:rsid w:val="00CF4FD1"/>
    <w:rsid w:val="00CF683A"/>
    <w:rsid w:val="00CF7714"/>
    <w:rsid w:val="00D043D9"/>
    <w:rsid w:val="00D06575"/>
    <w:rsid w:val="00D073BD"/>
    <w:rsid w:val="00D07CD7"/>
    <w:rsid w:val="00D13C6A"/>
    <w:rsid w:val="00D17A8C"/>
    <w:rsid w:val="00D24ADB"/>
    <w:rsid w:val="00D25B34"/>
    <w:rsid w:val="00D278BF"/>
    <w:rsid w:val="00D3014B"/>
    <w:rsid w:val="00D301FA"/>
    <w:rsid w:val="00D31078"/>
    <w:rsid w:val="00D35227"/>
    <w:rsid w:val="00D35E3D"/>
    <w:rsid w:val="00D41CFF"/>
    <w:rsid w:val="00D45853"/>
    <w:rsid w:val="00D46E94"/>
    <w:rsid w:val="00D53128"/>
    <w:rsid w:val="00D54898"/>
    <w:rsid w:val="00D5697B"/>
    <w:rsid w:val="00D57426"/>
    <w:rsid w:val="00D576E3"/>
    <w:rsid w:val="00D65E93"/>
    <w:rsid w:val="00D70E5A"/>
    <w:rsid w:val="00D736BB"/>
    <w:rsid w:val="00D742B0"/>
    <w:rsid w:val="00D74A81"/>
    <w:rsid w:val="00D83D06"/>
    <w:rsid w:val="00D85074"/>
    <w:rsid w:val="00D85A86"/>
    <w:rsid w:val="00D85AD9"/>
    <w:rsid w:val="00D8642F"/>
    <w:rsid w:val="00D91EA4"/>
    <w:rsid w:val="00D95A97"/>
    <w:rsid w:val="00D95B61"/>
    <w:rsid w:val="00DA2BA7"/>
    <w:rsid w:val="00DA4EF5"/>
    <w:rsid w:val="00DA74EB"/>
    <w:rsid w:val="00DB02C5"/>
    <w:rsid w:val="00DB30B9"/>
    <w:rsid w:val="00DB5413"/>
    <w:rsid w:val="00DC51D8"/>
    <w:rsid w:val="00DC6A70"/>
    <w:rsid w:val="00DD0AB4"/>
    <w:rsid w:val="00DD1047"/>
    <w:rsid w:val="00DD326B"/>
    <w:rsid w:val="00DD411B"/>
    <w:rsid w:val="00DD6818"/>
    <w:rsid w:val="00DD6D07"/>
    <w:rsid w:val="00DE02E3"/>
    <w:rsid w:val="00DF062E"/>
    <w:rsid w:val="00DF095B"/>
    <w:rsid w:val="00DF542C"/>
    <w:rsid w:val="00DF6AB0"/>
    <w:rsid w:val="00DF7DFC"/>
    <w:rsid w:val="00E01BE2"/>
    <w:rsid w:val="00E109D7"/>
    <w:rsid w:val="00E21592"/>
    <w:rsid w:val="00E235CD"/>
    <w:rsid w:val="00E24802"/>
    <w:rsid w:val="00E25BAE"/>
    <w:rsid w:val="00E3348F"/>
    <w:rsid w:val="00E34845"/>
    <w:rsid w:val="00E34E5B"/>
    <w:rsid w:val="00E3534B"/>
    <w:rsid w:val="00E402E9"/>
    <w:rsid w:val="00E50087"/>
    <w:rsid w:val="00E50C21"/>
    <w:rsid w:val="00E527D0"/>
    <w:rsid w:val="00E554B7"/>
    <w:rsid w:val="00E6235B"/>
    <w:rsid w:val="00E6339F"/>
    <w:rsid w:val="00E661F6"/>
    <w:rsid w:val="00E71BE2"/>
    <w:rsid w:val="00E72972"/>
    <w:rsid w:val="00E73013"/>
    <w:rsid w:val="00E742EB"/>
    <w:rsid w:val="00E81FEB"/>
    <w:rsid w:val="00E856E3"/>
    <w:rsid w:val="00E92BB1"/>
    <w:rsid w:val="00E936A1"/>
    <w:rsid w:val="00E95519"/>
    <w:rsid w:val="00EA16E6"/>
    <w:rsid w:val="00EA78D5"/>
    <w:rsid w:val="00EB1211"/>
    <w:rsid w:val="00EB1AA7"/>
    <w:rsid w:val="00EB27FD"/>
    <w:rsid w:val="00EB6D4E"/>
    <w:rsid w:val="00EC019F"/>
    <w:rsid w:val="00EC1561"/>
    <w:rsid w:val="00EC3EBC"/>
    <w:rsid w:val="00EC3ECB"/>
    <w:rsid w:val="00EC5EB8"/>
    <w:rsid w:val="00ED0178"/>
    <w:rsid w:val="00ED3109"/>
    <w:rsid w:val="00EE4C92"/>
    <w:rsid w:val="00EE518B"/>
    <w:rsid w:val="00EE6525"/>
    <w:rsid w:val="00EF4D55"/>
    <w:rsid w:val="00EF5D85"/>
    <w:rsid w:val="00EF5EC7"/>
    <w:rsid w:val="00EF6340"/>
    <w:rsid w:val="00EF6F93"/>
    <w:rsid w:val="00F00534"/>
    <w:rsid w:val="00F01EDB"/>
    <w:rsid w:val="00F117EB"/>
    <w:rsid w:val="00F1744C"/>
    <w:rsid w:val="00F20E06"/>
    <w:rsid w:val="00F21A66"/>
    <w:rsid w:val="00F2357D"/>
    <w:rsid w:val="00F263D6"/>
    <w:rsid w:val="00F2744B"/>
    <w:rsid w:val="00F32B8D"/>
    <w:rsid w:val="00F36D23"/>
    <w:rsid w:val="00F40689"/>
    <w:rsid w:val="00F41687"/>
    <w:rsid w:val="00F41BC1"/>
    <w:rsid w:val="00F50F76"/>
    <w:rsid w:val="00F516EC"/>
    <w:rsid w:val="00F54F10"/>
    <w:rsid w:val="00F611D0"/>
    <w:rsid w:val="00F63073"/>
    <w:rsid w:val="00F634D1"/>
    <w:rsid w:val="00F64A33"/>
    <w:rsid w:val="00F65A61"/>
    <w:rsid w:val="00F67F5F"/>
    <w:rsid w:val="00F76032"/>
    <w:rsid w:val="00F90BC6"/>
    <w:rsid w:val="00F91B50"/>
    <w:rsid w:val="00F93D87"/>
    <w:rsid w:val="00F95115"/>
    <w:rsid w:val="00FA186A"/>
    <w:rsid w:val="00FA19CA"/>
    <w:rsid w:val="00FB1583"/>
    <w:rsid w:val="00FB7B09"/>
    <w:rsid w:val="00FC2405"/>
    <w:rsid w:val="00FC3AF2"/>
    <w:rsid w:val="00FC74ED"/>
    <w:rsid w:val="00FD15FF"/>
    <w:rsid w:val="00FD69C7"/>
    <w:rsid w:val="00FD764E"/>
    <w:rsid w:val="00FE0F2C"/>
    <w:rsid w:val="00FE1FCD"/>
    <w:rsid w:val="00FE35F7"/>
    <w:rsid w:val="00FF0484"/>
    <w:rsid w:val="00FF1BDD"/>
    <w:rsid w:val="00FF61A5"/>
    <w:rsid w:val="00FF79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7665C1C-3FEA-42B9-AA4A-2B669F65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2D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38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38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2380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2380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3FC7"/>
    <w:pPr>
      <w:autoSpaceDE w:val="0"/>
      <w:autoSpaceDN w:val="0"/>
      <w:adjustRightInd w:val="0"/>
      <w:spacing w:after="0" w:line="240" w:lineRule="auto"/>
    </w:pPr>
    <w:rPr>
      <w:rFonts w:ascii="Palatino Linotype" w:hAnsi="Palatino Linotype" w:cs="Palatino Linotype"/>
      <w:color w:val="000000"/>
      <w:sz w:val="24"/>
      <w:szCs w:val="24"/>
    </w:rPr>
  </w:style>
  <w:style w:type="table" w:styleId="TableGrid">
    <w:name w:val="Table Grid"/>
    <w:basedOn w:val="TableNormal"/>
    <w:uiPriority w:val="59"/>
    <w:rsid w:val="002A6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69C7"/>
    <w:pPr>
      <w:ind w:left="720"/>
      <w:contextualSpacing/>
    </w:pPr>
  </w:style>
  <w:style w:type="paragraph" w:styleId="BalloonText">
    <w:name w:val="Balloon Text"/>
    <w:basedOn w:val="Normal"/>
    <w:link w:val="BalloonTextChar"/>
    <w:uiPriority w:val="99"/>
    <w:semiHidden/>
    <w:unhideWhenUsed/>
    <w:rsid w:val="00076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DA0"/>
    <w:rPr>
      <w:rFonts w:ascii="Tahoma" w:hAnsi="Tahoma" w:cs="Tahoma"/>
      <w:sz w:val="16"/>
      <w:szCs w:val="16"/>
    </w:rPr>
  </w:style>
  <w:style w:type="character" w:styleId="Hyperlink">
    <w:name w:val="Hyperlink"/>
    <w:basedOn w:val="DefaultParagraphFont"/>
    <w:uiPriority w:val="99"/>
    <w:unhideWhenUsed/>
    <w:rsid w:val="004B13B4"/>
    <w:rPr>
      <w:color w:val="0000FF" w:themeColor="hyperlink"/>
      <w:u w:val="single"/>
    </w:rPr>
  </w:style>
  <w:style w:type="paragraph" w:styleId="Header">
    <w:name w:val="header"/>
    <w:basedOn w:val="Normal"/>
    <w:link w:val="HeaderChar"/>
    <w:uiPriority w:val="99"/>
    <w:unhideWhenUsed/>
    <w:rsid w:val="00611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BF7"/>
  </w:style>
  <w:style w:type="paragraph" w:styleId="Footer">
    <w:name w:val="footer"/>
    <w:basedOn w:val="Normal"/>
    <w:link w:val="FooterChar"/>
    <w:uiPriority w:val="99"/>
    <w:unhideWhenUsed/>
    <w:rsid w:val="00611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BF7"/>
  </w:style>
  <w:style w:type="character" w:customStyle="1" w:styleId="Heading1Char">
    <w:name w:val="Heading 1 Char"/>
    <w:basedOn w:val="DefaultParagraphFont"/>
    <w:link w:val="Heading1"/>
    <w:uiPriority w:val="9"/>
    <w:rsid w:val="00A12D6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12D62"/>
    <w:pPr>
      <w:outlineLvl w:val="9"/>
    </w:pPr>
    <w:rPr>
      <w:lang w:eastAsia="ja-JP"/>
    </w:rPr>
  </w:style>
  <w:style w:type="paragraph" w:styleId="TOC2">
    <w:name w:val="toc 2"/>
    <w:basedOn w:val="Normal"/>
    <w:next w:val="Normal"/>
    <w:autoRedefine/>
    <w:uiPriority w:val="39"/>
    <w:semiHidden/>
    <w:unhideWhenUsed/>
    <w:qFormat/>
    <w:rsid w:val="00A12D62"/>
    <w:pPr>
      <w:spacing w:after="100"/>
      <w:ind w:left="220"/>
    </w:pPr>
    <w:rPr>
      <w:lang w:eastAsia="ja-JP"/>
    </w:rPr>
  </w:style>
  <w:style w:type="paragraph" w:styleId="TOC1">
    <w:name w:val="toc 1"/>
    <w:basedOn w:val="Normal"/>
    <w:next w:val="Normal"/>
    <w:autoRedefine/>
    <w:uiPriority w:val="39"/>
    <w:unhideWhenUsed/>
    <w:qFormat/>
    <w:rsid w:val="007951B5"/>
    <w:pPr>
      <w:spacing w:after="100"/>
    </w:pPr>
    <w:rPr>
      <w:bCs/>
      <w:lang w:eastAsia="ja-JP"/>
    </w:rPr>
  </w:style>
  <w:style w:type="paragraph" w:styleId="TOC3">
    <w:name w:val="toc 3"/>
    <w:basedOn w:val="Normal"/>
    <w:next w:val="Normal"/>
    <w:autoRedefine/>
    <w:uiPriority w:val="39"/>
    <w:semiHidden/>
    <w:unhideWhenUsed/>
    <w:qFormat/>
    <w:rsid w:val="00A12D62"/>
    <w:pPr>
      <w:spacing w:after="100"/>
      <w:ind w:left="440"/>
    </w:pPr>
    <w:rPr>
      <w:lang w:eastAsia="ja-JP"/>
    </w:rPr>
  </w:style>
  <w:style w:type="paragraph" w:styleId="NoSpacing">
    <w:name w:val="No Spacing"/>
    <w:link w:val="NoSpacingChar"/>
    <w:uiPriority w:val="1"/>
    <w:qFormat/>
    <w:rsid w:val="001D6178"/>
    <w:pPr>
      <w:spacing w:after="0" w:line="240" w:lineRule="auto"/>
    </w:pPr>
  </w:style>
  <w:style w:type="character" w:styleId="CommentReference">
    <w:name w:val="annotation reference"/>
    <w:basedOn w:val="DefaultParagraphFont"/>
    <w:uiPriority w:val="99"/>
    <w:semiHidden/>
    <w:unhideWhenUsed/>
    <w:rsid w:val="00401B7E"/>
    <w:rPr>
      <w:sz w:val="16"/>
      <w:szCs w:val="16"/>
    </w:rPr>
  </w:style>
  <w:style w:type="paragraph" w:styleId="CommentText">
    <w:name w:val="annotation text"/>
    <w:basedOn w:val="Normal"/>
    <w:link w:val="CommentTextChar"/>
    <w:uiPriority w:val="99"/>
    <w:semiHidden/>
    <w:unhideWhenUsed/>
    <w:rsid w:val="00401B7E"/>
    <w:pPr>
      <w:spacing w:line="240" w:lineRule="auto"/>
    </w:pPr>
    <w:rPr>
      <w:sz w:val="20"/>
      <w:szCs w:val="20"/>
    </w:rPr>
  </w:style>
  <w:style w:type="character" w:customStyle="1" w:styleId="CommentTextChar">
    <w:name w:val="Comment Text Char"/>
    <w:basedOn w:val="DefaultParagraphFont"/>
    <w:link w:val="CommentText"/>
    <w:uiPriority w:val="99"/>
    <w:semiHidden/>
    <w:rsid w:val="00401B7E"/>
    <w:rPr>
      <w:sz w:val="20"/>
      <w:szCs w:val="20"/>
    </w:rPr>
  </w:style>
  <w:style w:type="paragraph" w:styleId="CommentSubject">
    <w:name w:val="annotation subject"/>
    <w:basedOn w:val="CommentText"/>
    <w:next w:val="CommentText"/>
    <w:link w:val="CommentSubjectChar"/>
    <w:uiPriority w:val="99"/>
    <w:semiHidden/>
    <w:unhideWhenUsed/>
    <w:rsid w:val="00401B7E"/>
    <w:rPr>
      <w:b/>
      <w:bCs/>
    </w:rPr>
  </w:style>
  <w:style w:type="character" w:customStyle="1" w:styleId="CommentSubjectChar">
    <w:name w:val="Comment Subject Char"/>
    <w:basedOn w:val="CommentTextChar"/>
    <w:link w:val="CommentSubject"/>
    <w:uiPriority w:val="99"/>
    <w:semiHidden/>
    <w:rsid w:val="00401B7E"/>
    <w:rPr>
      <w:b/>
      <w:bCs/>
      <w:sz w:val="20"/>
      <w:szCs w:val="20"/>
    </w:rPr>
  </w:style>
  <w:style w:type="character" w:customStyle="1" w:styleId="NoSpacingChar">
    <w:name w:val="No Spacing Char"/>
    <w:link w:val="NoSpacing"/>
    <w:uiPriority w:val="1"/>
    <w:rsid w:val="00CB060C"/>
  </w:style>
  <w:style w:type="character" w:styleId="IntenseEmphasis">
    <w:name w:val="Intense Emphasis"/>
    <w:basedOn w:val="DefaultParagraphFont"/>
    <w:uiPriority w:val="21"/>
    <w:qFormat/>
    <w:rsid w:val="00C25E6C"/>
    <w:rPr>
      <w:i/>
      <w:iCs/>
      <w:color w:val="4F81BD" w:themeColor="accent1"/>
    </w:rPr>
  </w:style>
  <w:style w:type="character" w:styleId="BookTitle">
    <w:name w:val="Book Title"/>
    <w:basedOn w:val="DefaultParagraphFont"/>
    <w:uiPriority w:val="33"/>
    <w:qFormat/>
    <w:rsid w:val="00AC1797"/>
    <w:rPr>
      <w:b/>
      <w:bCs/>
      <w:i/>
      <w:iCs/>
      <w:spacing w:val="5"/>
    </w:rPr>
  </w:style>
  <w:style w:type="character" w:customStyle="1" w:styleId="Heading2Char">
    <w:name w:val="Heading 2 Char"/>
    <w:basedOn w:val="DefaultParagraphFont"/>
    <w:link w:val="Heading2"/>
    <w:uiPriority w:val="9"/>
    <w:rsid w:val="002238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238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2380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23805"/>
    <w:rPr>
      <w:rFonts w:asciiTheme="majorHAnsi" w:eastAsiaTheme="majorEastAsia" w:hAnsiTheme="majorHAnsi" w:cstheme="majorBidi"/>
      <w:color w:val="243F60" w:themeColor="accent1" w:themeShade="7F"/>
    </w:rPr>
  </w:style>
  <w:style w:type="paragraph" w:customStyle="1" w:styleId="Style1">
    <w:name w:val="Style1"/>
    <w:basedOn w:val="ListParagraph"/>
    <w:qFormat/>
    <w:rsid w:val="00CF683A"/>
    <w:pPr>
      <w:numPr>
        <w:ilvl w:val="1"/>
        <w:numId w:val="36"/>
      </w:numPr>
      <w:spacing w:before="240" w:after="240" w:line="240" w:lineRule="auto"/>
    </w:pPr>
    <w:rPr>
      <w:rFonts w:asciiTheme="majorHAnsi" w:hAnsiTheme="majorHAnsi" w:cs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7848">
      <w:bodyDiv w:val="1"/>
      <w:marLeft w:val="0"/>
      <w:marRight w:val="0"/>
      <w:marTop w:val="0"/>
      <w:marBottom w:val="0"/>
      <w:divBdr>
        <w:top w:val="none" w:sz="0" w:space="0" w:color="auto"/>
        <w:left w:val="none" w:sz="0" w:space="0" w:color="auto"/>
        <w:bottom w:val="none" w:sz="0" w:space="0" w:color="auto"/>
        <w:right w:val="none" w:sz="0" w:space="0" w:color="auto"/>
      </w:divBdr>
    </w:div>
    <w:div w:id="111025346">
      <w:bodyDiv w:val="1"/>
      <w:marLeft w:val="0"/>
      <w:marRight w:val="0"/>
      <w:marTop w:val="0"/>
      <w:marBottom w:val="0"/>
      <w:divBdr>
        <w:top w:val="none" w:sz="0" w:space="0" w:color="auto"/>
        <w:left w:val="none" w:sz="0" w:space="0" w:color="auto"/>
        <w:bottom w:val="none" w:sz="0" w:space="0" w:color="auto"/>
        <w:right w:val="none" w:sz="0" w:space="0" w:color="auto"/>
      </w:divBdr>
    </w:div>
    <w:div w:id="118498502">
      <w:bodyDiv w:val="1"/>
      <w:marLeft w:val="0"/>
      <w:marRight w:val="0"/>
      <w:marTop w:val="0"/>
      <w:marBottom w:val="0"/>
      <w:divBdr>
        <w:top w:val="none" w:sz="0" w:space="0" w:color="auto"/>
        <w:left w:val="none" w:sz="0" w:space="0" w:color="auto"/>
        <w:bottom w:val="none" w:sz="0" w:space="0" w:color="auto"/>
        <w:right w:val="none" w:sz="0" w:space="0" w:color="auto"/>
      </w:divBdr>
    </w:div>
    <w:div w:id="128133531">
      <w:bodyDiv w:val="1"/>
      <w:marLeft w:val="0"/>
      <w:marRight w:val="0"/>
      <w:marTop w:val="0"/>
      <w:marBottom w:val="0"/>
      <w:divBdr>
        <w:top w:val="none" w:sz="0" w:space="0" w:color="auto"/>
        <w:left w:val="none" w:sz="0" w:space="0" w:color="auto"/>
        <w:bottom w:val="none" w:sz="0" w:space="0" w:color="auto"/>
        <w:right w:val="none" w:sz="0" w:space="0" w:color="auto"/>
      </w:divBdr>
    </w:div>
    <w:div w:id="140468065">
      <w:bodyDiv w:val="1"/>
      <w:marLeft w:val="0"/>
      <w:marRight w:val="0"/>
      <w:marTop w:val="0"/>
      <w:marBottom w:val="0"/>
      <w:divBdr>
        <w:top w:val="none" w:sz="0" w:space="0" w:color="auto"/>
        <w:left w:val="none" w:sz="0" w:space="0" w:color="auto"/>
        <w:bottom w:val="none" w:sz="0" w:space="0" w:color="auto"/>
        <w:right w:val="none" w:sz="0" w:space="0" w:color="auto"/>
      </w:divBdr>
    </w:div>
    <w:div w:id="141317868">
      <w:bodyDiv w:val="1"/>
      <w:marLeft w:val="0"/>
      <w:marRight w:val="0"/>
      <w:marTop w:val="0"/>
      <w:marBottom w:val="0"/>
      <w:divBdr>
        <w:top w:val="none" w:sz="0" w:space="0" w:color="auto"/>
        <w:left w:val="none" w:sz="0" w:space="0" w:color="auto"/>
        <w:bottom w:val="none" w:sz="0" w:space="0" w:color="auto"/>
        <w:right w:val="none" w:sz="0" w:space="0" w:color="auto"/>
      </w:divBdr>
    </w:div>
    <w:div w:id="156505591">
      <w:bodyDiv w:val="1"/>
      <w:marLeft w:val="0"/>
      <w:marRight w:val="0"/>
      <w:marTop w:val="0"/>
      <w:marBottom w:val="0"/>
      <w:divBdr>
        <w:top w:val="none" w:sz="0" w:space="0" w:color="auto"/>
        <w:left w:val="none" w:sz="0" w:space="0" w:color="auto"/>
        <w:bottom w:val="none" w:sz="0" w:space="0" w:color="auto"/>
        <w:right w:val="none" w:sz="0" w:space="0" w:color="auto"/>
      </w:divBdr>
    </w:div>
    <w:div w:id="164059072">
      <w:bodyDiv w:val="1"/>
      <w:marLeft w:val="0"/>
      <w:marRight w:val="0"/>
      <w:marTop w:val="0"/>
      <w:marBottom w:val="0"/>
      <w:divBdr>
        <w:top w:val="none" w:sz="0" w:space="0" w:color="auto"/>
        <w:left w:val="none" w:sz="0" w:space="0" w:color="auto"/>
        <w:bottom w:val="none" w:sz="0" w:space="0" w:color="auto"/>
        <w:right w:val="none" w:sz="0" w:space="0" w:color="auto"/>
      </w:divBdr>
    </w:div>
    <w:div w:id="174617973">
      <w:bodyDiv w:val="1"/>
      <w:marLeft w:val="0"/>
      <w:marRight w:val="0"/>
      <w:marTop w:val="0"/>
      <w:marBottom w:val="0"/>
      <w:divBdr>
        <w:top w:val="none" w:sz="0" w:space="0" w:color="auto"/>
        <w:left w:val="none" w:sz="0" w:space="0" w:color="auto"/>
        <w:bottom w:val="none" w:sz="0" w:space="0" w:color="auto"/>
        <w:right w:val="none" w:sz="0" w:space="0" w:color="auto"/>
      </w:divBdr>
    </w:div>
    <w:div w:id="176583889">
      <w:bodyDiv w:val="1"/>
      <w:marLeft w:val="0"/>
      <w:marRight w:val="0"/>
      <w:marTop w:val="0"/>
      <w:marBottom w:val="0"/>
      <w:divBdr>
        <w:top w:val="none" w:sz="0" w:space="0" w:color="auto"/>
        <w:left w:val="none" w:sz="0" w:space="0" w:color="auto"/>
        <w:bottom w:val="none" w:sz="0" w:space="0" w:color="auto"/>
        <w:right w:val="none" w:sz="0" w:space="0" w:color="auto"/>
      </w:divBdr>
    </w:div>
    <w:div w:id="204488769">
      <w:bodyDiv w:val="1"/>
      <w:marLeft w:val="0"/>
      <w:marRight w:val="0"/>
      <w:marTop w:val="0"/>
      <w:marBottom w:val="0"/>
      <w:divBdr>
        <w:top w:val="none" w:sz="0" w:space="0" w:color="auto"/>
        <w:left w:val="none" w:sz="0" w:space="0" w:color="auto"/>
        <w:bottom w:val="none" w:sz="0" w:space="0" w:color="auto"/>
        <w:right w:val="none" w:sz="0" w:space="0" w:color="auto"/>
      </w:divBdr>
    </w:div>
    <w:div w:id="204828842">
      <w:bodyDiv w:val="1"/>
      <w:marLeft w:val="0"/>
      <w:marRight w:val="0"/>
      <w:marTop w:val="0"/>
      <w:marBottom w:val="0"/>
      <w:divBdr>
        <w:top w:val="none" w:sz="0" w:space="0" w:color="auto"/>
        <w:left w:val="none" w:sz="0" w:space="0" w:color="auto"/>
        <w:bottom w:val="none" w:sz="0" w:space="0" w:color="auto"/>
        <w:right w:val="none" w:sz="0" w:space="0" w:color="auto"/>
      </w:divBdr>
    </w:div>
    <w:div w:id="209659594">
      <w:bodyDiv w:val="1"/>
      <w:marLeft w:val="0"/>
      <w:marRight w:val="0"/>
      <w:marTop w:val="0"/>
      <w:marBottom w:val="0"/>
      <w:divBdr>
        <w:top w:val="none" w:sz="0" w:space="0" w:color="auto"/>
        <w:left w:val="none" w:sz="0" w:space="0" w:color="auto"/>
        <w:bottom w:val="none" w:sz="0" w:space="0" w:color="auto"/>
        <w:right w:val="none" w:sz="0" w:space="0" w:color="auto"/>
      </w:divBdr>
    </w:div>
    <w:div w:id="223444552">
      <w:bodyDiv w:val="1"/>
      <w:marLeft w:val="0"/>
      <w:marRight w:val="0"/>
      <w:marTop w:val="0"/>
      <w:marBottom w:val="0"/>
      <w:divBdr>
        <w:top w:val="none" w:sz="0" w:space="0" w:color="auto"/>
        <w:left w:val="none" w:sz="0" w:space="0" w:color="auto"/>
        <w:bottom w:val="none" w:sz="0" w:space="0" w:color="auto"/>
        <w:right w:val="none" w:sz="0" w:space="0" w:color="auto"/>
      </w:divBdr>
    </w:div>
    <w:div w:id="230584513">
      <w:bodyDiv w:val="1"/>
      <w:marLeft w:val="0"/>
      <w:marRight w:val="0"/>
      <w:marTop w:val="0"/>
      <w:marBottom w:val="0"/>
      <w:divBdr>
        <w:top w:val="none" w:sz="0" w:space="0" w:color="auto"/>
        <w:left w:val="none" w:sz="0" w:space="0" w:color="auto"/>
        <w:bottom w:val="none" w:sz="0" w:space="0" w:color="auto"/>
        <w:right w:val="none" w:sz="0" w:space="0" w:color="auto"/>
      </w:divBdr>
    </w:div>
    <w:div w:id="306739507">
      <w:bodyDiv w:val="1"/>
      <w:marLeft w:val="0"/>
      <w:marRight w:val="0"/>
      <w:marTop w:val="0"/>
      <w:marBottom w:val="0"/>
      <w:divBdr>
        <w:top w:val="none" w:sz="0" w:space="0" w:color="auto"/>
        <w:left w:val="none" w:sz="0" w:space="0" w:color="auto"/>
        <w:bottom w:val="none" w:sz="0" w:space="0" w:color="auto"/>
        <w:right w:val="none" w:sz="0" w:space="0" w:color="auto"/>
      </w:divBdr>
    </w:div>
    <w:div w:id="350644682">
      <w:bodyDiv w:val="1"/>
      <w:marLeft w:val="0"/>
      <w:marRight w:val="0"/>
      <w:marTop w:val="0"/>
      <w:marBottom w:val="0"/>
      <w:divBdr>
        <w:top w:val="none" w:sz="0" w:space="0" w:color="auto"/>
        <w:left w:val="none" w:sz="0" w:space="0" w:color="auto"/>
        <w:bottom w:val="none" w:sz="0" w:space="0" w:color="auto"/>
        <w:right w:val="none" w:sz="0" w:space="0" w:color="auto"/>
      </w:divBdr>
    </w:div>
    <w:div w:id="362899335">
      <w:bodyDiv w:val="1"/>
      <w:marLeft w:val="0"/>
      <w:marRight w:val="0"/>
      <w:marTop w:val="0"/>
      <w:marBottom w:val="0"/>
      <w:divBdr>
        <w:top w:val="none" w:sz="0" w:space="0" w:color="auto"/>
        <w:left w:val="none" w:sz="0" w:space="0" w:color="auto"/>
        <w:bottom w:val="none" w:sz="0" w:space="0" w:color="auto"/>
        <w:right w:val="none" w:sz="0" w:space="0" w:color="auto"/>
      </w:divBdr>
    </w:div>
    <w:div w:id="364645793">
      <w:bodyDiv w:val="1"/>
      <w:marLeft w:val="0"/>
      <w:marRight w:val="0"/>
      <w:marTop w:val="0"/>
      <w:marBottom w:val="0"/>
      <w:divBdr>
        <w:top w:val="none" w:sz="0" w:space="0" w:color="auto"/>
        <w:left w:val="none" w:sz="0" w:space="0" w:color="auto"/>
        <w:bottom w:val="none" w:sz="0" w:space="0" w:color="auto"/>
        <w:right w:val="none" w:sz="0" w:space="0" w:color="auto"/>
      </w:divBdr>
    </w:div>
    <w:div w:id="367220268">
      <w:bodyDiv w:val="1"/>
      <w:marLeft w:val="0"/>
      <w:marRight w:val="0"/>
      <w:marTop w:val="0"/>
      <w:marBottom w:val="0"/>
      <w:divBdr>
        <w:top w:val="none" w:sz="0" w:space="0" w:color="auto"/>
        <w:left w:val="none" w:sz="0" w:space="0" w:color="auto"/>
        <w:bottom w:val="none" w:sz="0" w:space="0" w:color="auto"/>
        <w:right w:val="none" w:sz="0" w:space="0" w:color="auto"/>
      </w:divBdr>
    </w:div>
    <w:div w:id="418984438">
      <w:bodyDiv w:val="1"/>
      <w:marLeft w:val="0"/>
      <w:marRight w:val="0"/>
      <w:marTop w:val="0"/>
      <w:marBottom w:val="0"/>
      <w:divBdr>
        <w:top w:val="none" w:sz="0" w:space="0" w:color="auto"/>
        <w:left w:val="none" w:sz="0" w:space="0" w:color="auto"/>
        <w:bottom w:val="none" w:sz="0" w:space="0" w:color="auto"/>
        <w:right w:val="none" w:sz="0" w:space="0" w:color="auto"/>
      </w:divBdr>
    </w:div>
    <w:div w:id="421754482">
      <w:bodyDiv w:val="1"/>
      <w:marLeft w:val="0"/>
      <w:marRight w:val="0"/>
      <w:marTop w:val="0"/>
      <w:marBottom w:val="0"/>
      <w:divBdr>
        <w:top w:val="none" w:sz="0" w:space="0" w:color="auto"/>
        <w:left w:val="none" w:sz="0" w:space="0" w:color="auto"/>
        <w:bottom w:val="none" w:sz="0" w:space="0" w:color="auto"/>
        <w:right w:val="none" w:sz="0" w:space="0" w:color="auto"/>
      </w:divBdr>
    </w:div>
    <w:div w:id="432625818">
      <w:bodyDiv w:val="1"/>
      <w:marLeft w:val="0"/>
      <w:marRight w:val="0"/>
      <w:marTop w:val="0"/>
      <w:marBottom w:val="0"/>
      <w:divBdr>
        <w:top w:val="none" w:sz="0" w:space="0" w:color="auto"/>
        <w:left w:val="none" w:sz="0" w:space="0" w:color="auto"/>
        <w:bottom w:val="none" w:sz="0" w:space="0" w:color="auto"/>
        <w:right w:val="none" w:sz="0" w:space="0" w:color="auto"/>
      </w:divBdr>
    </w:div>
    <w:div w:id="501244432">
      <w:bodyDiv w:val="1"/>
      <w:marLeft w:val="0"/>
      <w:marRight w:val="0"/>
      <w:marTop w:val="0"/>
      <w:marBottom w:val="0"/>
      <w:divBdr>
        <w:top w:val="none" w:sz="0" w:space="0" w:color="auto"/>
        <w:left w:val="none" w:sz="0" w:space="0" w:color="auto"/>
        <w:bottom w:val="none" w:sz="0" w:space="0" w:color="auto"/>
        <w:right w:val="none" w:sz="0" w:space="0" w:color="auto"/>
      </w:divBdr>
    </w:div>
    <w:div w:id="577130085">
      <w:bodyDiv w:val="1"/>
      <w:marLeft w:val="0"/>
      <w:marRight w:val="0"/>
      <w:marTop w:val="0"/>
      <w:marBottom w:val="0"/>
      <w:divBdr>
        <w:top w:val="none" w:sz="0" w:space="0" w:color="auto"/>
        <w:left w:val="none" w:sz="0" w:space="0" w:color="auto"/>
        <w:bottom w:val="none" w:sz="0" w:space="0" w:color="auto"/>
        <w:right w:val="none" w:sz="0" w:space="0" w:color="auto"/>
      </w:divBdr>
    </w:div>
    <w:div w:id="617566860">
      <w:bodyDiv w:val="1"/>
      <w:marLeft w:val="0"/>
      <w:marRight w:val="0"/>
      <w:marTop w:val="0"/>
      <w:marBottom w:val="0"/>
      <w:divBdr>
        <w:top w:val="none" w:sz="0" w:space="0" w:color="auto"/>
        <w:left w:val="none" w:sz="0" w:space="0" w:color="auto"/>
        <w:bottom w:val="none" w:sz="0" w:space="0" w:color="auto"/>
        <w:right w:val="none" w:sz="0" w:space="0" w:color="auto"/>
      </w:divBdr>
    </w:div>
    <w:div w:id="620066830">
      <w:bodyDiv w:val="1"/>
      <w:marLeft w:val="0"/>
      <w:marRight w:val="0"/>
      <w:marTop w:val="0"/>
      <w:marBottom w:val="0"/>
      <w:divBdr>
        <w:top w:val="none" w:sz="0" w:space="0" w:color="auto"/>
        <w:left w:val="none" w:sz="0" w:space="0" w:color="auto"/>
        <w:bottom w:val="none" w:sz="0" w:space="0" w:color="auto"/>
        <w:right w:val="none" w:sz="0" w:space="0" w:color="auto"/>
      </w:divBdr>
    </w:div>
    <w:div w:id="627975616">
      <w:bodyDiv w:val="1"/>
      <w:marLeft w:val="0"/>
      <w:marRight w:val="0"/>
      <w:marTop w:val="0"/>
      <w:marBottom w:val="0"/>
      <w:divBdr>
        <w:top w:val="none" w:sz="0" w:space="0" w:color="auto"/>
        <w:left w:val="none" w:sz="0" w:space="0" w:color="auto"/>
        <w:bottom w:val="none" w:sz="0" w:space="0" w:color="auto"/>
        <w:right w:val="none" w:sz="0" w:space="0" w:color="auto"/>
      </w:divBdr>
    </w:div>
    <w:div w:id="634651317">
      <w:bodyDiv w:val="1"/>
      <w:marLeft w:val="0"/>
      <w:marRight w:val="0"/>
      <w:marTop w:val="0"/>
      <w:marBottom w:val="0"/>
      <w:divBdr>
        <w:top w:val="none" w:sz="0" w:space="0" w:color="auto"/>
        <w:left w:val="none" w:sz="0" w:space="0" w:color="auto"/>
        <w:bottom w:val="none" w:sz="0" w:space="0" w:color="auto"/>
        <w:right w:val="none" w:sz="0" w:space="0" w:color="auto"/>
      </w:divBdr>
    </w:div>
    <w:div w:id="644285246">
      <w:bodyDiv w:val="1"/>
      <w:marLeft w:val="0"/>
      <w:marRight w:val="0"/>
      <w:marTop w:val="0"/>
      <w:marBottom w:val="0"/>
      <w:divBdr>
        <w:top w:val="none" w:sz="0" w:space="0" w:color="auto"/>
        <w:left w:val="none" w:sz="0" w:space="0" w:color="auto"/>
        <w:bottom w:val="none" w:sz="0" w:space="0" w:color="auto"/>
        <w:right w:val="none" w:sz="0" w:space="0" w:color="auto"/>
      </w:divBdr>
    </w:div>
    <w:div w:id="678315890">
      <w:bodyDiv w:val="1"/>
      <w:marLeft w:val="0"/>
      <w:marRight w:val="0"/>
      <w:marTop w:val="0"/>
      <w:marBottom w:val="0"/>
      <w:divBdr>
        <w:top w:val="none" w:sz="0" w:space="0" w:color="auto"/>
        <w:left w:val="none" w:sz="0" w:space="0" w:color="auto"/>
        <w:bottom w:val="none" w:sz="0" w:space="0" w:color="auto"/>
        <w:right w:val="none" w:sz="0" w:space="0" w:color="auto"/>
      </w:divBdr>
    </w:div>
    <w:div w:id="712733999">
      <w:bodyDiv w:val="1"/>
      <w:marLeft w:val="0"/>
      <w:marRight w:val="0"/>
      <w:marTop w:val="0"/>
      <w:marBottom w:val="0"/>
      <w:divBdr>
        <w:top w:val="none" w:sz="0" w:space="0" w:color="auto"/>
        <w:left w:val="none" w:sz="0" w:space="0" w:color="auto"/>
        <w:bottom w:val="none" w:sz="0" w:space="0" w:color="auto"/>
        <w:right w:val="none" w:sz="0" w:space="0" w:color="auto"/>
      </w:divBdr>
    </w:div>
    <w:div w:id="750271824">
      <w:bodyDiv w:val="1"/>
      <w:marLeft w:val="0"/>
      <w:marRight w:val="0"/>
      <w:marTop w:val="0"/>
      <w:marBottom w:val="0"/>
      <w:divBdr>
        <w:top w:val="none" w:sz="0" w:space="0" w:color="auto"/>
        <w:left w:val="none" w:sz="0" w:space="0" w:color="auto"/>
        <w:bottom w:val="none" w:sz="0" w:space="0" w:color="auto"/>
        <w:right w:val="none" w:sz="0" w:space="0" w:color="auto"/>
      </w:divBdr>
    </w:div>
    <w:div w:id="777329707">
      <w:bodyDiv w:val="1"/>
      <w:marLeft w:val="0"/>
      <w:marRight w:val="0"/>
      <w:marTop w:val="0"/>
      <w:marBottom w:val="0"/>
      <w:divBdr>
        <w:top w:val="none" w:sz="0" w:space="0" w:color="auto"/>
        <w:left w:val="none" w:sz="0" w:space="0" w:color="auto"/>
        <w:bottom w:val="none" w:sz="0" w:space="0" w:color="auto"/>
        <w:right w:val="none" w:sz="0" w:space="0" w:color="auto"/>
      </w:divBdr>
    </w:div>
    <w:div w:id="853306462">
      <w:bodyDiv w:val="1"/>
      <w:marLeft w:val="0"/>
      <w:marRight w:val="0"/>
      <w:marTop w:val="0"/>
      <w:marBottom w:val="0"/>
      <w:divBdr>
        <w:top w:val="none" w:sz="0" w:space="0" w:color="auto"/>
        <w:left w:val="none" w:sz="0" w:space="0" w:color="auto"/>
        <w:bottom w:val="none" w:sz="0" w:space="0" w:color="auto"/>
        <w:right w:val="none" w:sz="0" w:space="0" w:color="auto"/>
      </w:divBdr>
    </w:div>
    <w:div w:id="853882101">
      <w:bodyDiv w:val="1"/>
      <w:marLeft w:val="0"/>
      <w:marRight w:val="0"/>
      <w:marTop w:val="0"/>
      <w:marBottom w:val="0"/>
      <w:divBdr>
        <w:top w:val="none" w:sz="0" w:space="0" w:color="auto"/>
        <w:left w:val="none" w:sz="0" w:space="0" w:color="auto"/>
        <w:bottom w:val="none" w:sz="0" w:space="0" w:color="auto"/>
        <w:right w:val="none" w:sz="0" w:space="0" w:color="auto"/>
      </w:divBdr>
    </w:div>
    <w:div w:id="888762055">
      <w:bodyDiv w:val="1"/>
      <w:marLeft w:val="0"/>
      <w:marRight w:val="0"/>
      <w:marTop w:val="0"/>
      <w:marBottom w:val="0"/>
      <w:divBdr>
        <w:top w:val="none" w:sz="0" w:space="0" w:color="auto"/>
        <w:left w:val="none" w:sz="0" w:space="0" w:color="auto"/>
        <w:bottom w:val="none" w:sz="0" w:space="0" w:color="auto"/>
        <w:right w:val="none" w:sz="0" w:space="0" w:color="auto"/>
      </w:divBdr>
    </w:div>
    <w:div w:id="894855023">
      <w:bodyDiv w:val="1"/>
      <w:marLeft w:val="0"/>
      <w:marRight w:val="0"/>
      <w:marTop w:val="0"/>
      <w:marBottom w:val="0"/>
      <w:divBdr>
        <w:top w:val="none" w:sz="0" w:space="0" w:color="auto"/>
        <w:left w:val="none" w:sz="0" w:space="0" w:color="auto"/>
        <w:bottom w:val="none" w:sz="0" w:space="0" w:color="auto"/>
        <w:right w:val="none" w:sz="0" w:space="0" w:color="auto"/>
      </w:divBdr>
    </w:div>
    <w:div w:id="902327339">
      <w:bodyDiv w:val="1"/>
      <w:marLeft w:val="0"/>
      <w:marRight w:val="0"/>
      <w:marTop w:val="0"/>
      <w:marBottom w:val="0"/>
      <w:divBdr>
        <w:top w:val="none" w:sz="0" w:space="0" w:color="auto"/>
        <w:left w:val="none" w:sz="0" w:space="0" w:color="auto"/>
        <w:bottom w:val="none" w:sz="0" w:space="0" w:color="auto"/>
        <w:right w:val="none" w:sz="0" w:space="0" w:color="auto"/>
      </w:divBdr>
    </w:div>
    <w:div w:id="953485309">
      <w:bodyDiv w:val="1"/>
      <w:marLeft w:val="0"/>
      <w:marRight w:val="0"/>
      <w:marTop w:val="0"/>
      <w:marBottom w:val="0"/>
      <w:divBdr>
        <w:top w:val="none" w:sz="0" w:space="0" w:color="auto"/>
        <w:left w:val="none" w:sz="0" w:space="0" w:color="auto"/>
        <w:bottom w:val="none" w:sz="0" w:space="0" w:color="auto"/>
        <w:right w:val="none" w:sz="0" w:space="0" w:color="auto"/>
      </w:divBdr>
    </w:div>
    <w:div w:id="955598968">
      <w:bodyDiv w:val="1"/>
      <w:marLeft w:val="0"/>
      <w:marRight w:val="0"/>
      <w:marTop w:val="0"/>
      <w:marBottom w:val="0"/>
      <w:divBdr>
        <w:top w:val="none" w:sz="0" w:space="0" w:color="auto"/>
        <w:left w:val="none" w:sz="0" w:space="0" w:color="auto"/>
        <w:bottom w:val="none" w:sz="0" w:space="0" w:color="auto"/>
        <w:right w:val="none" w:sz="0" w:space="0" w:color="auto"/>
      </w:divBdr>
    </w:div>
    <w:div w:id="961424966">
      <w:bodyDiv w:val="1"/>
      <w:marLeft w:val="0"/>
      <w:marRight w:val="0"/>
      <w:marTop w:val="0"/>
      <w:marBottom w:val="0"/>
      <w:divBdr>
        <w:top w:val="none" w:sz="0" w:space="0" w:color="auto"/>
        <w:left w:val="none" w:sz="0" w:space="0" w:color="auto"/>
        <w:bottom w:val="none" w:sz="0" w:space="0" w:color="auto"/>
        <w:right w:val="none" w:sz="0" w:space="0" w:color="auto"/>
      </w:divBdr>
    </w:div>
    <w:div w:id="1029337030">
      <w:bodyDiv w:val="1"/>
      <w:marLeft w:val="0"/>
      <w:marRight w:val="0"/>
      <w:marTop w:val="0"/>
      <w:marBottom w:val="0"/>
      <w:divBdr>
        <w:top w:val="none" w:sz="0" w:space="0" w:color="auto"/>
        <w:left w:val="none" w:sz="0" w:space="0" w:color="auto"/>
        <w:bottom w:val="none" w:sz="0" w:space="0" w:color="auto"/>
        <w:right w:val="none" w:sz="0" w:space="0" w:color="auto"/>
      </w:divBdr>
    </w:div>
    <w:div w:id="1030182017">
      <w:bodyDiv w:val="1"/>
      <w:marLeft w:val="0"/>
      <w:marRight w:val="0"/>
      <w:marTop w:val="0"/>
      <w:marBottom w:val="0"/>
      <w:divBdr>
        <w:top w:val="none" w:sz="0" w:space="0" w:color="auto"/>
        <w:left w:val="none" w:sz="0" w:space="0" w:color="auto"/>
        <w:bottom w:val="none" w:sz="0" w:space="0" w:color="auto"/>
        <w:right w:val="none" w:sz="0" w:space="0" w:color="auto"/>
      </w:divBdr>
    </w:div>
    <w:div w:id="1061174574">
      <w:bodyDiv w:val="1"/>
      <w:marLeft w:val="0"/>
      <w:marRight w:val="0"/>
      <w:marTop w:val="0"/>
      <w:marBottom w:val="0"/>
      <w:divBdr>
        <w:top w:val="none" w:sz="0" w:space="0" w:color="auto"/>
        <w:left w:val="none" w:sz="0" w:space="0" w:color="auto"/>
        <w:bottom w:val="none" w:sz="0" w:space="0" w:color="auto"/>
        <w:right w:val="none" w:sz="0" w:space="0" w:color="auto"/>
      </w:divBdr>
    </w:div>
    <w:div w:id="1062219707">
      <w:bodyDiv w:val="1"/>
      <w:marLeft w:val="0"/>
      <w:marRight w:val="0"/>
      <w:marTop w:val="0"/>
      <w:marBottom w:val="0"/>
      <w:divBdr>
        <w:top w:val="none" w:sz="0" w:space="0" w:color="auto"/>
        <w:left w:val="none" w:sz="0" w:space="0" w:color="auto"/>
        <w:bottom w:val="none" w:sz="0" w:space="0" w:color="auto"/>
        <w:right w:val="none" w:sz="0" w:space="0" w:color="auto"/>
      </w:divBdr>
    </w:div>
    <w:div w:id="1062404666">
      <w:bodyDiv w:val="1"/>
      <w:marLeft w:val="0"/>
      <w:marRight w:val="0"/>
      <w:marTop w:val="0"/>
      <w:marBottom w:val="0"/>
      <w:divBdr>
        <w:top w:val="none" w:sz="0" w:space="0" w:color="auto"/>
        <w:left w:val="none" w:sz="0" w:space="0" w:color="auto"/>
        <w:bottom w:val="none" w:sz="0" w:space="0" w:color="auto"/>
        <w:right w:val="none" w:sz="0" w:space="0" w:color="auto"/>
      </w:divBdr>
    </w:div>
    <w:div w:id="1063257435">
      <w:bodyDiv w:val="1"/>
      <w:marLeft w:val="0"/>
      <w:marRight w:val="0"/>
      <w:marTop w:val="0"/>
      <w:marBottom w:val="0"/>
      <w:divBdr>
        <w:top w:val="none" w:sz="0" w:space="0" w:color="auto"/>
        <w:left w:val="none" w:sz="0" w:space="0" w:color="auto"/>
        <w:bottom w:val="none" w:sz="0" w:space="0" w:color="auto"/>
        <w:right w:val="none" w:sz="0" w:space="0" w:color="auto"/>
      </w:divBdr>
    </w:div>
    <w:div w:id="1091971542">
      <w:bodyDiv w:val="1"/>
      <w:marLeft w:val="0"/>
      <w:marRight w:val="0"/>
      <w:marTop w:val="0"/>
      <w:marBottom w:val="0"/>
      <w:divBdr>
        <w:top w:val="none" w:sz="0" w:space="0" w:color="auto"/>
        <w:left w:val="none" w:sz="0" w:space="0" w:color="auto"/>
        <w:bottom w:val="none" w:sz="0" w:space="0" w:color="auto"/>
        <w:right w:val="none" w:sz="0" w:space="0" w:color="auto"/>
      </w:divBdr>
    </w:div>
    <w:div w:id="1098594993">
      <w:bodyDiv w:val="1"/>
      <w:marLeft w:val="0"/>
      <w:marRight w:val="0"/>
      <w:marTop w:val="0"/>
      <w:marBottom w:val="0"/>
      <w:divBdr>
        <w:top w:val="none" w:sz="0" w:space="0" w:color="auto"/>
        <w:left w:val="none" w:sz="0" w:space="0" w:color="auto"/>
        <w:bottom w:val="none" w:sz="0" w:space="0" w:color="auto"/>
        <w:right w:val="none" w:sz="0" w:space="0" w:color="auto"/>
      </w:divBdr>
    </w:div>
    <w:div w:id="1139759480">
      <w:bodyDiv w:val="1"/>
      <w:marLeft w:val="0"/>
      <w:marRight w:val="0"/>
      <w:marTop w:val="0"/>
      <w:marBottom w:val="0"/>
      <w:divBdr>
        <w:top w:val="none" w:sz="0" w:space="0" w:color="auto"/>
        <w:left w:val="none" w:sz="0" w:space="0" w:color="auto"/>
        <w:bottom w:val="none" w:sz="0" w:space="0" w:color="auto"/>
        <w:right w:val="none" w:sz="0" w:space="0" w:color="auto"/>
      </w:divBdr>
    </w:div>
    <w:div w:id="1163164651">
      <w:bodyDiv w:val="1"/>
      <w:marLeft w:val="0"/>
      <w:marRight w:val="0"/>
      <w:marTop w:val="0"/>
      <w:marBottom w:val="0"/>
      <w:divBdr>
        <w:top w:val="none" w:sz="0" w:space="0" w:color="auto"/>
        <w:left w:val="none" w:sz="0" w:space="0" w:color="auto"/>
        <w:bottom w:val="none" w:sz="0" w:space="0" w:color="auto"/>
        <w:right w:val="none" w:sz="0" w:space="0" w:color="auto"/>
      </w:divBdr>
    </w:div>
    <w:div w:id="1176112612">
      <w:bodyDiv w:val="1"/>
      <w:marLeft w:val="0"/>
      <w:marRight w:val="0"/>
      <w:marTop w:val="0"/>
      <w:marBottom w:val="0"/>
      <w:divBdr>
        <w:top w:val="none" w:sz="0" w:space="0" w:color="auto"/>
        <w:left w:val="none" w:sz="0" w:space="0" w:color="auto"/>
        <w:bottom w:val="none" w:sz="0" w:space="0" w:color="auto"/>
        <w:right w:val="none" w:sz="0" w:space="0" w:color="auto"/>
      </w:divBdr>
    </w:div>
    <w:div w:id="1181286534">
      <w:bodyDiv w:val="1"/>
      <w:marLeft w:val="0"/>
      <w:marRight w:val="0"/>
      <w:marTop w:val="0"/>
      <w:marBottom w:val="0"/>
      <w:divBdr>
        <w:top w:val="none" w:sz="0" w:space="0" w:color="auto"/>
        <w:left w:val="none" w:sz="0" w:space="0" w:color="auto"/>
        <w:bottom w:val="none" w:sz="0" w:space="0" w:color="auto"/>
        <w:right w:val="none" w:sz="0" w:space="0" w:color="auto"/>
      </w:divBdr>
    </w:div>
    <w:div w:id="1194273951">
      <w:bodyDiv w:val="1"/>
      <w:marLeft w:val="0"/>
      <w:marRight w:val="0"/>
      <w:marTop w:val="0"/>
      <w:marBottom w:val="0"/>
      <w:divBdr>
        <w:top w:val="none" w:sz="0" w:space="0" w:color="auto"/>
        <w:left w:val="none" w:sz="0" w:space="0" w:color="auto"/>
        <w:bottom w:val="none" w:sz="0" w:space="0" w:color="auto"/>
        <w:right w:val="none" w:sz="0" w:space="0" w:color="auto"/>
      </w:divBdr>
    </w:div>
    <w:div w:id="1233006880">
      <w:bodyDiv w:val="1"/>
      <w:marLeft w:val="0"/>
      <w:marRight w:val="0"/>
      <w:marTop w:val="0"/>
      <w:marBottom w:val="0"/>
      <w:divBdr>
        <w:top w:val="none" w:sz="0" w:space="0" w:color="auto"/>
        <w:left w:val="none" w:sz="0" w:space="0" w:color="auto"/>
        <w:bottom w:val="none" w:sz="0" w:space="0" w:color="auto"/>
        <w:right w:val="none" w:sz="0" w:space="0" w:color="auto"/>
      </w:divBdr>
    </w:div>
    <w:div w:id="1235892099">
      <w:bodyDiv w:val="1"/>
      <w:marLeft w:val="0"/>
      <w:marRight w:val="0"/>
      <w:marTop w:val="0"/>
      <w:marBottom w:val="0"/>
      <w:divBdr>
        <w:top w:val="none" w:sz="0" w:space="0" w:color="auto"/>
        <w:left w:val="none" w:sz="0" w:space="0" w:color="auto"/>
        <w:bottom w:val="none" w:sz="0" w:space="0" w:color="auto"/>
        <w:right w:val="none" w:sz="0" w:space="0" w:color="auto"/>
      </w:divBdr>
    </w:div>
    <w:div w:id="1318342062">
      <w:bodyDiv w:val="1"/>
      <w:marLeft w:val="0"/>
      <w:marRight w:val="0"/>
      <w:marTop w:val="0"/>
      <w:marBottom w:val="0"/>
      <w:divBdr>
        <w:top w:val="none" w:sz="0" w:space="0" w:color="auto"/>
        <w:left w:val="none" w:sz="0" w:space="0" w:color="auto"/>
        <w:bottom w:val="none" w:sz="0" w:space="0" w:color="auto"/>
        <w:right w:val="none" w:sz="0" w:space="0" w:color="auto"/>
      </w:divBdr>
    </w:div>
    <w:div w:id="1327897303">
      <w:bodyDiv w:val="1"/>
      <w:marLeft w:val="0"/>
      <w:marRight w:val="0"/>
      <w:marTop w:val="0"/>
      <w:marBottom w:val="0"/>
      <w:divBdr>
        <w:top w:val="none" w:sz="0" w:space="0" w:color="auto"/>
        <w:left w:val="none" w:sz="0" w:space="0" w:color="auto"/>
        <w:bottom w:val="none" w:sz="0" w:space="0" w:color="auto"/>
        <w:right w:val="none" w:sz="0" w:space="0" w:color="auto"/>
      </w:divBdr>
    </w:div>
    <w:div w:id="1392004515">
      <w:bodyDiv w:val="1"/>
      <w:marLeft w:val="0"/>
      <w:marRight w:val="0"/>
      <w:marTop w:val="0"/>
      <w:marBottom w:val="0"/>
      <w:divBdr>
        <w:top w:val="none" w:sz="0" w:space="0" w:color="auto"/>
        <w:left w:val="none" w:sz="0" w:space="0" w:color="auto"/>
        <w:bottom w:val="none" w:sz="0" w:space="0" w:color="auto"/>
        <w:right w:val="none" w:sz="0" w:space="0" w:color="auto"/>
      </w:divBdr>
    </w:div>
    <w:div w:id="1402215545">
      <w:bodyDiv w:val="1"/>
      <w:marLeft w:val="0"/>
      <w:marRight w:val="0"/>
      <w:marTop w:val="0"/>
      <w:marBottom w:val="0"/>
      <w:divBdr>
        <w:top w:val="none" w:sz="0" w:space="0" w:color="auto"/>
        <w:left w:val="none" w:sz="0" w:space="0" w:color="auto"/>
        <w:bottom w:val="none" w:sz="0" w:space="0" w:color="auto"/>
        <w:right w:val="none" w:sz="0" w:space="0" w:color="auto"/>
      </w:divBdr>
    </w:div>
    <w:div w:id="1421175657">
      <w:bodyDiv w:val="1"/>
      <w:marLeft w:val="0"/>
      <w:marRight w:val="0"/>
      <w:marTop w:val="0"/>
      <w:marBottom w:val="0"/>
      <w:divBdr>
        <w:top w:val="none" w:sz="0" w:space="0" w:color="auto"/>
        <w:left w:val="none" w:sz="0" w:space="0" w:color="auto"/>
        <w:bottom w:val="none" w:sz="0" w:space="0" w:color="auto"/>
        <w:right w:val="none" w:sz="0" w:space="0" w:color="auto"/>
      </w:divBdr>
    </w:div>
    <w:div w:id="1423527441">
      <w:bodyDiv w:val="1"/>
      <w:marLeft w:val="0"/>
      <w:marRight w:val="0"/>
      <w:marTop w:val="0"/>
      <w:marBottom w:val="0"/>
      <w:divBdr>
        <w:top w:val="none" w:sz="0" w:space="0" w:color="auto"/>
        <w:left w:val="none" w:sz="0" w:space="0" w:color="auto"/>
        <w:bottom w:val="none" w:sz="0" w:space="0" w:color="auto"/>
        <w:right w:val="none" w:sz="0" w:space="0" w:color="auto"/>
      </w:divBdr>
    </w:div>
    <w:div w:id="1455783452">
      <w:bodyDiv w:val="1"/>
      <w:marLeft w:val="0"/>
      <w:marRight w:val="0"/>
      <w:marTop w:val="0"/>
      <w:marBottom w:val="0"/>
      <w:divBdr>
        <w:top w:val="none" w:sz="0" w:space="0" w:color="auto"/>
        <w:left w:val="none" w:sz="0" w:space="0" w:color="auto"/>
        <w:bottom w:val="none" w:sz="0" w:space="0" w:color="auto"/>
        <w:right w:val="none" w:sz="0" w:space="0" w:color="auto"/>
      </w:divBdr>
    </w:div>
    <w:div w:id="1463184270">
      <w:bodyDiv w:val="1"/>
      <w:marLeft w:val="0"/>
      <w:marRight w:val="0"/>
      <w:marTop w:val="0"/>
      <w:marBottom w:val="0"/>
      <w:divBdr>
        <w:top w:val="none" w:sz="0" w:space="0" w:color="auto"/>
        <w:left w:val="none" w:sz="0" w:space="0" w:color="auto"/>
        <w:bottom w:val="none" w:sz="0" w:space="0" w:color="auto"/>
        <w:right w:val="none" w:sz="0" w:space="0" w:color="auto"/>
      </w:divBdr>
    </w:div>
    <w:div w:id="1476919672">
      <w:bodyDiv w:val="1"/>
      <w:marLeft w:val="0"/>
      <w:marRight w:val="0"/>
      <w:marTop w:val="0"/>
      <w:marBottom w:val="0"/>
      <w:divBdr>
        <w:top w:val="none" w:sz="0" w:space="0" w:color="auto"/>
        <w:left w:val="none" w:sz="0" w:space="0" w:color="auto"/>
        <w:bottom w:val="none" w:sz="0" w:space="0" w:color="auto"/>
        <w:right w:val="none" w:sz="0" w:space="0" w:color="auto"/>
      </w:divBdr>
    </w:div>
    <w:div w:id="1493787965">
      <w:bodyDiv w:val="1"/>
      <w:marLeft w:val="0"/>
      <w:marRight w:val="0"/>
      <w:marTop w:val="0"/>
      <w:marBottom w:val="0"/>
      <w:divBdr>
        <w:top w:val="none" w:sz="0" w:space="0" w:color="auto"/>
        <w:left w:val="none" w:sz="0" w:space="0" w:color="auto"/>
        <w:bottom w:val="none" w:sz="0" w:space="0" w:color="auto"/>
        <w:right w:val="none" w:sz="0" w:space="0" w:color="auto"/>
      </w:divBdr>
    </w:div>
    <w:div w:id="1504857762">
      <w:bodyDiv w:val="1"/>
      <w:marLeft w:val="0"/>
      <w:marRight w:val="0"/>
      <w:marTop w:val="0"/>
      <w:marBottom w:val="0"/>
      <w:divBdr>
        <w:top w:val="none" w:sz="0" w:space="0" w:color="auto"/>
        <w:left w:val="none" w:sz="0" w:space="0" w:color="auto"/>
        <w:bottom w:val="none" w:sz="0" w:space="0" w:color="auto"/>
        <w:right w:val="none" w:sz="0" w:space="0" w:color="auto"/>
      </w:divBdr>
    </w:div>
    <w:div w:id="1544053232">
      <w:bodyDiv w:val="1"/>
      <w:marLeft w:val="0"/>
      <w:marRight w:val="0"/>
      <w:marTop w:val="0"/>
      <w:marBottom w:val="0"/>
      <w:divBdr>
        <w:top w:val="none" w:sz="0" w:space="0" w:color="auto"/>
        <w:left w:val="none" w:sz="0" w:space="0" w:color="auto"/>
        <w:bottom w:val="none" w:sz="0" w:space="0" w:color="auto"/>
        <w:right w:val="none" w:sz="0" w:space="0" w:color="auto"/>
      </w:divBdr>
    </w:div>
    <w:div w:id="1545749188">
      <w:bodyDiv w:val="1"/>
      <w:marLeft w:val="0"/>
      <w:marRight w:val="0"/>
      <w:marTop w:val="0"/>
      <w:marBottom w:val="0"/>
      <w:divBdr>
        <w:top w:val="none" w:sz="0" w:space="0" w:color="auto"/>
        <w:left w:val="none" w:sz="0" w:space="0" w:color="auto"/>
        <w:bottom w:val="none" w:sz="0" w:space="0" w:color="auto"/>
        <w:right w:val="none" w:sz="0" w:space="0" w:color="auto"/>
      </w:divBdr>
    </w:div>
    <w:div w:id="1550726258">
      <w:bodyDiv w:val="1"/>
      <w:marLeft w:val="0"/>
      <w:marRight w:val="0"/>
      <w:marTop w:val="0"/>
      <w:marBottom w:val="0"/>
      <w:divBdr>
        <w:top w:val="none" w:sz="0" w:space="0" w:color="auto"/>
        <w:left w:val="none" w:sz="0" w:space="0" w:color="auto"/>
        <w:bottom w:val="none" w:sz="0" w:space="0" w:color="auto"/>
        <w:right w:val="none" w:sz="0" w:space="0" w:color="auto"/>
      </w:divBdr>
    </w:div>
    <w:div w:id="1560676449">
      <w:bodyDiv w:val="1"/>
      <w:marLeft w:val="0"/>
      <w:marRight w:val="0"/>
      <w:marTop w:val="0"/>
      <w:marBottom w:val="0"/>
      <w:divBdr>
        <w:top w:val="none" w:sz="0" w:space="0" w:color="auto"/>
        <w:left w:val="none" w:sz="0" w:space="0" w:color="auto"/>
        <w:bottom w:val="none" w:sz="0" w:space="0" w:color="auto"/>
        <w:right w:val="none" w:sz="0" w:space="0" w:color="auto"/>
      </w:divBdr>
    </w:div>
    <w:div w:id="1578663604">
      <w:bodyDiv w:val="1"/>
      <w:marLeft w:val="0"/>
      <w:marRight w:val="0"/>
      <w:marTop w:val="0"/>
      <w:marBottom w:val="0"/>
      <w:divBdr>
        <w:top w:val="none" w:sz="0" w:space="0" w:color="auto"/>
        <w:left w:val="none" w:sz="0" w:space="0" w:color="auto"/>
        <w:bottom w:val="none" w:sz="0" w:space="0" w:color="auto"/>
        <w:right w:val="none" w:sz="0" w:space="0" w:color="auto"/>
      </w:divBdr>
    </w:div>
    <w:div w:id="1614314855">
      <w:bodyDiv w:val="1"/>
      <w:marLeft w:val="0"/>
      <w:marRight w:val="0"/>
      <w:marTop w:val="0"/>
      <w:marBottom w:val="0"/>
      <w:divBdr>
        <w:top w:val="none" w:sz="0" w:space="0" w:color="auto"/>
        <w:left w:val="none" w:sz="0" w:space="0" w:color="auto"/>
        <w:bottom w:val="none" w:sz="0" w:space="0" w:color="auto"/>
        <w:right w:val="none" w:sz="0" w:space="0" w:color="auto"/>
      </w:divBdr>
    </w:div>
    <w:div w:id="1692799594">
      <w:bodyDiv w:val="1"/>
      <w:marLeft w:val="0"/>
      <w:marRight w:val="0"/>
      <w:marTop w:val="0"/>
      <w:marBottom w:val="0"/>
      <w:divBdr>
        <w:top w:val="none" w:sz="0" w:space="0" w:color="auto"/>
        <w:left w:val="none" w:sz="0" w:space="0" w:color="auto"/>
        <w:bottom w:val="none" w:sz="0" w:space="0" w:color="auto"/>
        <w:right w:val="none" w:sz="0" w:space="0" w:color="auto"/>
      </w:divBdr>
    </w:div>
    <w:div w:id="1699701752">
      <w:bodyDiv w:val="1"/>
      <w:marLeft w:val="0"/>
      <w:marRight w:val="0"/>
      <w:marTop w:val="0"/>
      <w:marBottom w:val="0"/>
      <w:divBdr>
        <w:top w:val="none" w:sz="0" w:space="0" w:color="auto"/>
        <w:left w:val="none" w:sz="0" w:space="0" w:color="auto"/>
        <w:bottom w:val="none" w:sz="0" w:space="0" w:color="auto"/>
        <w:right w:val="none" w:sz="0" w:space="0" w:color="auto"/>
      </w:divBdr>
    </w:div>
    <w:div w:id="1716350631">
      <w:bodyDiv w:val="1"/>
      <w:marLeft w:val="0"/>
      <w:marRight w:val="0"/>
      <w:marTop w:val="0"/>
      <w:marBottom w:val="0"/>
      <w:divBdr>
        <w:top w:val="none" w:sz="0" w:space="0" w:color="auto"/>
        <w:left w:val="none" w:sz="0" w:space="0" w:color="auto"/>
        <w:bottom w:val="none" w:sz="0" w:space="0" w:color="auto"/>
        <w:right w:val="none" w:sz="0" w:space="0" w:color="auto"/>
      </w:divBdr>
    </w:div>
    <w:div w:id="1717390574">
      <w:bodyDiv w:val="1"/>
      <w:marLeft w:val="0"/>
      <w:marRight w:val="0"/>
      <w:marTop w:val="0"/>
      <w:marBottom w:val="0"/>
      <w:divBdr>
        <w:top w:val="none" w:sz="0" w:space="0" w:color="auto"/>
        <w:left w:val="none" w:sz="0" w:space="0" w:color="auto"/>
        <w:bottom w:val="none" w:sz="0" w:space="0" w:color="auto"/>
        <w:right w:val="none" w:sz="0" w:space="0" w:color="auto"/>
      </w:divBdr>
    </w:div>
    <w:div w:id="1731809175">
      <w:bodyDiv w:val="1"/>
      <w:marLeft w:val="0"/>
      <w:marRight w:val="0"/>
      <w:marTop w:val="0"/>
      <w:marBottom w:val="0"/>
      <w:divBdr>
        <w:top w:val="none" w:sz="0" w:space="0" w:color="auto"/>
        <w:left w:val="none" w:sz="0" w:space="0" w:color="auto"/>
        <w:bottom w:val="none" w:sz="0" w:space="0" w:color="auto"/>
        <w:right w:val="none" w:sz="0" w:space="0" w:color="auto"/>
      </w:divBdr>
    </w:div>
    <w:div w:id="1745835154">
      <w:bodyDiv w:val="1"/>
      <w:marLeft w:val="0"/>
      <w:marRight w:val="0"/>
      <w:marTop w:val="0"/>
      <w:marBottom w:val="0"/>
      <w:divBdr>
        <w:top w:val="none" w:sz="0" w:space="0" w:color="auto"/>
        <w:left w:val="none" w:sz="0" w:space="0" w:color="auto"/>
        <w:bottom w:val="none" w:sz="0" w:space="0" w:color="auto"/>
        <w:right w:val="none" w:sz="0" w:space="0" w:color="auto"/>
      </w:divBdr>
    </w:div>
    <w:div w:id="1758820778">
      <w:bodyDiv w:val="1"/>
      <w:marLeft w:val="0"/>
      <w:marRight w:val="0"/>
      <w:marTop w:val="0"/>
      <w:marBottom w:val="0"/>
      <w:divBdr>
        <w:top w:val="none" w:sz="0" w:space="0" w:color="auto"/>
        <w:left w:val="none" w:sz="0" w:space="0" w:color="auto"/>
        <w:bottom w:val="none" w:sz="0" w:space="0" w:color="auto"/>
        <w:right w:val="none" w:sz="0" w:space="0" w:color="auto"/>
      </w:divBdr>
    </w:div>
    <w:div w:id="1774744363">
      <w:bodyDiv w:val="1"/>
      <w:marLeft w:val="0"/>
      <w:marRight w:val="0"/>
      <w:marTop w:val="0"/>
      <w:marBottom w:val="0"/>
      <w:divBdr>
        <w:top w:val="none" w:sz="0" w:space="0" w:color="auto"/>
        <w:left w:val="none" w:sz="0" w:space="0" w:color="auto"/>
        <w:bottom w:val="none" w:sz="0" w:space="0" w:color="auto"/>
        <w:right w:val="none" w:sz="0" w:space="0" w:color="auto"/>
      </w:divBdr>
    </w:div>
    <w:div w:id="1800679651">
      <w:bodyDiv w:val="1"/>
      <w:marLeft w:val="0"/>
      <w:marRight w:val="0"/>
      <w:marTop w:val="0"/>
      <w:marBottom w:val="0"/>
      <w:divBdr>
        <w:top w:val="none" w:sz="0" w:space="0" w:color="auto"/>
        <w:left w:val="none" w:sz="0" w:space="0" w:color="auto"/>
        <w:bottom w:val="none" w:sz="0" w:space="0" w:color="auto"/>
        <w:right w:val="none" w:sz="0" w:space="0" w:color="auto"/>
      </w:divBdr>
    </w:div>
    <w:div w:id="1812668485">
      <w:bodyDiv w:val="1"/>
      <w:marLeft w:val="0"/>
      <w:marRight w:val="0"/>
      <w:marTop w:val="0"/>
      <w:marBottom w:val="0"/>
      <w:divBdr>
        <w:top w:val="none" w:sz="0" w:space="0" w:color="auto"/>
        <w:left w:val="none" w:sz="0" w:space="0" w:color="auto"/>
        <w:bottom w:val="none" w:sz="0" w:space="0" w:color="auto"/>
        <w:right w:val="none" w:sz="0" w:space="0" w:color="auto"/>
      </w:divBdr>
    </w:div>
    <w:div w:id="1834098906">
      <w:bodyDiv w:val="1"/>
      <w:marLeft w:val="0"/>
      <w:marRight w:val="0"/>
      <w:marTop w:val="0"/>
      <w:marBottom w:val="0"/>
      <w:divBdr>
        <w:top w:val="none" w:sz="0" w:space="0" w:color="auto"/>
        <w:left w:val="none" w:sz="0" w:space="0" w:color="auto"/>
        <w:bottom w:val="none" w:sz="0" w:space="0" w:color="auto"/>
        <w:right w:val="none" w:sz="0" w:space="0" w:color="auto"/>
      </w:divBdr>
    </w:div>
    <w:div w:id="1860467033">
      <w:bodyDiv w:val="1"/>
      <w:marLeft w:val="0"/>
      <w:marRight w:val="0"/>
      <w:marTop w:val="0"/>
      <w:marBottom w:val="0"/>
      <w:divBdr>
        <w:top w:val="none" w:sz="0" w:space="0" w:color="auto"/>
        <w:left w:val="none" w:sz="0" w:space="0" w:color="auto"/>
        <w:bottom w:val="none" w:sz="0" w:space="0" w:color="auto"/>
        <w:right w:val="none" w:sz="0" w:space="0" w:color="auto"/>
      </w:divBdr>
    </w:div>
    <w:div w:id="1873610093">
      <w:bodyDiv w:val="1"/>
      <w:marLeft w:val="0"/>
      <w:marRight w:val="0"/>
      <w:marTop w:val="0"/>
      <w:marBottom w:val="0"/>
      <w:divBdr>
        <w:top w:val="none" w:sz="0" w:space="0" w:color="auto"/>
        <w:left w:val="none" w:sz="0" w:space="0" w:color="auto"/>
        <w:bottom w:val="none" w:sz="0" w:space="0" w:color="auto"/>
        <w:right w:val="none" w:sz="0" w:space="0" w:color="auto"/>
      </w:divBdr>
    </w:div>
    <w:div w:id="1906144295">
      <w:bodyDiv w:val="1"/>
      <w:marLeft w:val="0"/>
      <w:marRight w:val="0"/>
      <w:marTop w:val="0"/>
      <w:marBottom w:val="0"/>
      <w:divBdr>
        <w:top w:val="none" w:sz="0" w:space="0" w:color="auto"/>
        <w:left w:val="none" w:sz="0" w:space="0" w:color="auto"/>
        <w:bottom w:val="none" w:sz="0" w:space="0" w:color="auto"/>
        <w:right w:val="none" w:sz="0" w:space="0" w:color="auto"/>
      </w:divBdr>
    </w:div>
    <w:div w:id="1914504676">
      <w:bodyDiv w:val="1"/>
      <w:marLeft w:val="0"/>
      <w:marRight w:val="0"/>
      <w:marTop w:val="0"/>
      <w:marBottom w:val="0"/>
      <w:divBdr>
        <w:top w:val="none" w:sz="0" w:space="0" w:color="auto"/>
        <w:left w:val="none" w:sz="0" w:space="0" w:color="auto"/>
        <w:bottom w:val="none" w:sz="0" w:space="0" w:color="auto"/>
        <w:right w:val="none" w:sz="0" w:space="0" w:color="auto"/>
      </w:divBdr>
    </w:div>
    <w:div w:id="1937859888">
      <w:bodyDiv w:val="1"/>
      <w:marLeft w:val="0"/>
      <w:marRight w:val="0"/>
      <w:marTop w:val="0"/>
      <w:marBottom w:val="0"/>
      <w:divBdr>
        <w:top w:val="none" w:sz="0" w:space="0" w:color="auto"/>
        <w:left w:val="none" w:sz="0" w:space="0" w:color="auto"/>
        <w:bottom w:val="none" w:sz="0" w:space="0" w:color="auto"/>
        <w:right w:val="none" w:sz="0" w:space="0" w:color="auto"/>
      </w:divBdr>
    </w:div>
    <w:div w:id="1939871908">
      <w:bodyDiv w:val="1"/>
      <w:marLeft w:val="0"/>
      <w:marRight w:val="0"/>
      <w:marTop w:val="0"/>
      <w:marBottom w:val="0"/>
      <w:divBdr>
        <w:top w:val="none" w:sz="0" w:space="0" w:color="auto"/>
        <w:left w:val="none" w:sz="0" w:space="0" w:color="auto"/>
        <w:bottom w:val="none" w:sz="0" w:space="0" w:color="auto"/>
        <w:right w:val="none" w:sz="0" w:space="0" w:color="auto"/>
      </w:divBdr>
    </w:div>
    <w:div w:id="1983270312">
      <w:bodyDiv w:val="1"/>
      <w:marLeft w:val="0"/>
      <w:marRight w:val="0"/>
      <w:marTop w:val="0"/>
      <w:marBottom w:val="0"/>
      <w:divBdr>
        <w:top w:val="none" w:sz="0" w:space="0" w:color="auto"/>
        <w:left w:val="none" w:sz="0" w:space="0" w:color="auto"/>
        <w:bottom w:val="none" w:sz="0" w:space="0" w:color="auto"/>
        <w:right w:val="none" w:sz="0" w:space="0" w:color="auto"/>
      </w:divBdr>
    </w:div>
    <w:div w:id="1999337981">
      <w:bodyDiv w:val="1"/>
      <w:marLeft w:val="0"/>
      <w:marRight w:val="0"/>
      <w:marTop w:val="0"/>
      <w:marBottom w:val="0"/>
      <w:divBdr>
        <w:top w:val="none" w:sz="0" w:space="0" w:color="auto"/>
        <w:left w:val="none" w:sz="0" w:space="0" w:color="auto"/>
        <w:bottom w:val="none" w:sz="0" w:space="0" w:color="auto"/>
        <w:right w:val="none" w:sz="0" w:space="0" w:color="auto"/>
      </w:divBdr>
    </w:div>
    <w:div w:id="2013024446">
      <w:bodyDiv w:val="1"/>
      <w:marLeft w:val="0"/>
      <w:marRight w:val="0"/>
      <w:marTop w:val="0"/>
      <w:marBottom w:val="0"/>
      <w:divBdr>
        <w:top w:val="none" w:sz="0" w:space="0" w:color="auto"/>
        <w:left w:val="none" w:sz="0" w:space="0" w:color="auto"/>
        <w:bottom w:val="none" w:sz="0" w:space="0" w:color="auto"/>
        <w:right w:val="none" w:sz="0" w:space="0" w:color="auto"/>
      </w:divBdr>
    </w:div>
    <w:div w:id="2014919443">
      <w:bodyDiv w:val="1"/>
      <w:marLeft w:val="0"/>
      <w:marRight w:val="0"/>
      <w:marTop w:val="0"/>
      <w:marBottom w:val="0"/>
      <w:divBdr>
        <w:top w:val="none" w:sz="0" w:space="0" w:color="auto"/>
        <w:left w:val="none" w:sz="0" w:space="0" w:color="auto"/>
        <w:bottom w:val="none" w:sz="0" w:space="0" w:color="auto"/>
        <w:right w:val="none" w:sz="0" w:space="0" w:color="auto"/>
      </w:divBdr>
    </w:div>
    <w:div w:id="2027172337">
      <w:bodyDiv w:val="1"/>
      <w:marLeft w:val="0"/>
      <w:marRight w:val="0"/>
      <w:marTop w:val="0"/>
      <w:marBottom w:val="0"/>
      <w:divBdr>
        <w:top w:val="none" w:sz="0" w:space="0" w:color="auto"/>
        <w:left w:val="none" w:sz="0" w:space="0" w:color="auto"/>
        <w:bottom w:val="none" w:sz="0" w:space="0" w:color="auto"/>
        <w:right w:val="none" w:sz="0" w:space="0" w:color="auto"/>
      </w:divBdr>
    </w:div>
    <w:div w:id="2031370528">
      <w:bodyDiv w:val="1"/>
      <w:marLeft w:val="0"/>
      <w:marRight w:val="0"/>
      <w:marTop w:val="0"/>
      <w:marBottom w:val="0"/>
      <w:divBdr>
        <w:top w:val="none" w:sz="0" w:space="0" w:color="auto"/>
        <w:left w:val="none" w:sz="0" w:space="0" w:color="auto"/>
        <w:bottom w:val="none" w:sz="0" w:space="0" w:color="auto"/>
        <w:right w:val="none" w:sz="0" w:space="0" w:color="auto"/>
      </w:divBdr>
    </w:div>
    <w:div w:id="2085100372">
      <w:bodyDiv w:val="1"/>
      <w:marLeft w:val="0"/>
      <w:marRight w:val="0"/>
      <w:marTop w:val="0"/>
      <w:marBottom w:val="0"/>
      <w:divBdr>
        <w:top w:val="none" w:sz="0" w:space="0" w:color="auto"/>
        <w:left w:val="none" w:sz="0" w:space="0" w:color="auto"/>
        <w:bottom w:val="none" w:sz="0" w:space="0" w:color="auto"/>
        <w:right w:val="none" w:sz="0" w:space="0" w:color="auto"/>
      </w:divBdr>
    </w:div>
    <w:div w:id="2113359710">
      <w:bodyDiv w:val="1"/>
      <w:marLeft w:val="0"/>
      <w:marRight w:val="0"/>
      <w:marTop w:val="0"/>
      <w:marBottom w:val="0"/>
      <w:divBdr>
        <w:top w:val="none" w:sz="0" w:space="0" w:color="auto"/>
        <w:left w:val="none" w:sz="0" w:space="0" w:color="auto"/>
        <w:bottom w:val="none" w:sz="0" w:space="0" w:color="auto"/>
        <w:right w:val="none" w:sz="0" w:space="0" w:color="auto"/>
      </w:divBdr>
    </w:div>
    <w:div w:id="2115009300">
      <w:bodyDiv w:val="1"/>
      <w:marLeft w:val="0"/>
      <w:marRight w:val="0"/>
      <w:marTop w:val="0"/>
      <w:marBottom w:val="0"/>
      <w:divBdr>
        <w:top w:val="none" w:sz="0" w:space="0" w:color="auto"/>
        <w:left w:val="none" w:sz="0" w:space="0" w:color="auto"/>
        <w:bottom w:val="none" w:sz="0" w:space="0" w:color="auto"/>
        <w:right w:val="none" w:sz="0" w:space="0" w:color="auto"/>
      </w:divBdr>
    </w:div>
    <w:div w:id="214168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oter" Target="footer1.xml" /><Relationship Id="rId18" Type="http://schemas.openxmlformats.org/officeDocument/2006/relationships/image" Target="media/image4.emf" /><Relationship Id="rId3" Type="http://schemas.openxmlformats.org/officeDocument/2006/relationships/styles" Target="styles.xml" /><Relationship Id="rId21" Type="http://schemas.openxmlformats.org/officeDocument/2006/relationships/theme" Target="theme/theme1.xml" /><Relationship Id="rId7" Type="http://schemas.openxmlformats.org/officeDocument/2006/relationships/endnotes" Target="endnotes.xml" /><Relationship Id="rId12" Type="http://schemas.openxmlformats.org/officeDocument/2006/relationships/header" Target="header1.xml" /><Relationship Id="rId17" Type="http://schemas.openxmlformats.org/officeDocument/2006/relationships/image" Target="media/image3.emf" /><Relationship Id="rId2" Type="http://schemas.openxmlformats.org/officeDocument/2006/relationships/numbering" Target="numbering.xml" /><Relationship Id="rId16" Type="http://schemas.openxmlformats.org/officeDocument/2006/relationships/footer" Target="footer3.xml" /><Relationship Id="rId20"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marsabit.go.ke" TargetMode="External" /><Relationship Id="rId5" Type="http://schemas.openxmlformats.org/officeDocument/2006/relationships/webSettings" Target="webSettings.xml" /><Relationship Id="rId15" Type="http://schemas.openxmlformats.org/officeDocument/2006/relationships/header" Target="header2.xml" /><Relationship Id="rId10" Type="http://schemas.openxmlformats.org/officeDocument/2006/relationships/hyperlink" Target="mailto:Email:%20info@marsabit.go.ke%20" TargetMode="External" /><Relationship Id="rId19" Type="http://schemas.openxmlformats.org/officeDocument/2006/relationships/image" Target="media/image5.emf"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C0C9E-33DD-4875-87E7-F15F9F30DAF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7737</Words>
  <Characters>44105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Marsabit County Budget Review and Outlook Paper 2022</vt:lpstr>
    </vt:vector>
  </TitlesOfParts>
  <Company>PricewaterhouseCoopers</Company>
  <LinksUpToDate>false</LinksUpToDate>
  <CharactersWithSpaces>51739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Marsabit County Budget Review and Outlook Paper 2022</dc:title>
  <dc:creator>User</dc:creator>
  <cp:lastModifiedBy>Qalicha Roba</cp:lastModifiedBy>
  <cp:revision>2</cp:revision>
  <cp:lastPrinted>2014-10-11T17:17:00Z</cp:lastPrinted>
  <dcterms:created xsi:type="dcterms:W3CDTF">2023-09-27T09:22:00Z</dcterms:created>
  <dcterms:modified xsi:type="dcterms:W3CDTF">2023-09-27T09:22:00Z</dcterms:modified>
</cp:coreProperties>
</file>